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1242" w14:textId="77777777" w:rsidR="00261427" w:rsidRPr="000A5046" w:rsidRDefault="00CD1A67" w:rsidP="000A5046">
      <w:pPr>
        <w:pStyle w:val="berschrift1"/>
        <w:jc w:val="center"/>
        <w:rPr>
          <w:sz w:val="28"/>
          <w:szCs w:val="28"/>
        </w:rPr>
      </w:pPr>
      <w:bookmarkStart w:id="0" w:name="_Toc446244929"/>
      <w:bookmarkStart w:id="1" w:name="_Toc446245164"/>
      <w:bookmarkStart w:id="2" w:name="_Toc99480689"/>
      <w:r w:rsidRPr="000A5046">
        <w:rPr>
          <w:sz w:val="28"/>
          <w:szCs w:val="28"/>
        </w:rPr>
        <w:t>Anlage 3: Lieferantenrahmenvertrag</w:t>
      </w:r>
      <w:r w:rsidR="00501E84" w:rsidRPr="000A5046">
        <w:rPr>
          <w:sz w:val="28"/>
          <w:szCs w:val="28"/>
        </w:rPr>
        <w:t xml:space="preserve"> Gas</w:t>
      </w:r>
      <w:bookmarkEnd w:id="0"/>
      <w:bookmarkEnd w:id="1"/>
      <w:bookmarkEnd w:id="2"/>
    </w:p>
    <w:p w14:paraId="52716749" w14:textId="77777777" w:rsidR="000E321E" w:rsidRPr="00771B22" w:rsidRDefault="008A18D5" w:rsidP="000E321E">
      <w:pPr>
        <w:jc w:val="center"/>
        <w:rPr>
          <w:rFonts w:cs="Arial"/>
          <w:sz w:val="22"/>
          <w:szCs w:val="22"/>
        </w:rPr>
      </w:pPr>
      <w:r w:rsidRPr="0084045B">
        <w:rPr>
          <w:rFonts w:cs="Arial"/>
          <w:b/>
          <w:bCs/>
          <w:szCs w:val="22"/>
        </w:rPr>
        <w:t>zur Ausspeisung von Gas in Verteilernetzen</w:t>
      </w:r>
      <w:r>
        <w:rPr>
          <w:rFonts w:cs="Arial"/>
          <w:b/>
          <w:bCs/>
          <w:szCs w:val="22"/>
        </w:rPr>
        <w:t xml:space="preserve"> </w:t>
      </w:r>
      <w:r w:rsidRPr="0084045B">
        <w:rPr>
          <w:rFonts w:cs="Arial"/>
          <w:b/>
          <w:bCs/>
          <w:szCs w:val="22"/>
        </w:rPr>
        <w:t>mit Netzpartizipationsmodell</w:t>
      </w:r>
      <w:r w:rsidRPr="0084045B">
        <w:rPr>
          <w:rFonts w:cs="Arial"/>
          <w:b/>
          <w:bCs/>
          <w:szCs w:val="22"/>
        </w:rPr>
        <w:br/>
      </w:r>
      <w:r w:rsidRPr="0084045B">
        <w:t>oder geschlossenen Verteilernetzen gemäß § 110 EnWG</w:t>
      </w:r>
    </w:p>
    <w:p w14:paraId="6394385B" w14:textId="77777777" w:rsidR="00261427" w:rsidRPr="00771B22" w:rsidRDefault="00261427" w:rsidP="00557A30">
      <w:pPr>
        <w:rPr>
          <w:rFonts w:cs="Arial"/>
          <w:sz w:val="22"/>
          <w:szCs w:val="22"/>
        </w:rPr>
      </w:pPr>
    </w:p>
    <w:p w14:paraId="4842D6EC" w14:textId="77777777" w:rsidR="00261427" w:rsidRPr="00771B22" w:rsidRDefault="00261427" w:rsidP="00557A30">
      <w:pPr>
        <w:rPr>
          <w:rFonts w:cs="Arial"/>
          <w:sz w:val="22"/>
          <w:szCs w:val="22"/>
        </w:rPr>
      </w:pPr>
    </w:p>
    <w:p w14:paraId="473BE9BC" w14:textId="77777777" w:rsidR="00261427" w:rsidRPr="00771B22" w:rsidRDefault="00261427" w:rsidP="002D2321">
      <w:pPr>
        <w:jc w:val="center"/>
        <w:rPr>
          <w:rFonts w:cs="Arial"/>
          <w:sz w:val="22"/>
          <w:szCs w:val="22"/>
        </w:rPr>
      </w:pPr>
    </w:p>
    <w:p w14:paraId="6082AE82" w14:textId="77777777" w:rsidR="00DE242E" w:rsidRPr="00771B22" w:rsidRDefault="00DE242E" w:rsidP="002D2321">
      <w:pPr>
        <w:jc w:val="center"/>
        <w:rPr>
          <w:rFonts w:cs="Arial"/>
          <w:sz w:val="22"/>
          <w:szCs w:val="22"/>
        </w:rPr>
      </w:pPr>
    </w:p>
    <w:p w14:paraId="106D8992" w14:textId="77777777" w:rsidR="000E321E" w:rsidRPr="00771B22" w:rsidRDefault="000E321E" w:rsidP="002D2321">
      <w:pPr>
        <w:jc w:val="center"/>
        <w:rPr>
          <w:rFonts w:cs="Arial"/>
          <w:sz w:val="22"/>
          <w:szCs w:val="22"/>
        </w:rPr>
      </w:pPr>
    </w:p>
    <w:p w14:paraId="55435F6F" w14:textId="77777777" w:rsidR="000E321E" w:rsidRPr="00771B22" w:rsidRDefault="000E321E" w:rsidP="002D2321">
      <w:pPr>
        <w:jc w:val="center"/>
        <w:rPr>
          <w:rFonts w:cs="Arial"/>
          <w:sz w:val="22"/>
          <w:szCs w:val="22"/>
        </w:rPr>
      </w:pPr>
    </w:p>
    <w:p w14:paraId="14B10469" w14:textId="77777777" w:rsidR="000E321E" w:rsidRPr="00771B22" w:rsidRDefault="000E321E" w:rsidP="002D2321">
      <w:pPr>
        <w:jc w:val="center"/>
        <w:rPr>
          <w:rFonts w:cs="Arial"/>
          <w:sz w:val="22"/>
          <w:szCs w:val="22"/>
        </w:rPr>
      </w:pPr>
    </w:p>
    <w:p w14:paraId="6602F6E0" w14:textId="77777777" w:rsidR="00261427" w:rsidRPr="00771B22" w:rsidRDefault="00261427" w:rsidP="002D2321">
      <w:pPr>
        <w:jc w:val="center"/>
        <w:rPr>
          <w:rFonts w:cs="Arial"/>
          <w:sz w:val="22"/>
          <w:szCs w:val="22"/>
        </w:rPr>
      </w:pPr>
      <w:r w:rsidRPr="00771B22">
        <w:rPr>
          <w:rFonts w:cs="Arial"/>
          <w:sz w:val="22"/>
          <w:szCs w:val="22"/>
        </w:rPr>
        <w:t>Zwischen</w:t>
      </w:r>
    </w:p>
    <w:p w14:paraId="1AC5DB33" w14:textId="77777777" w:rsidR="00261427" w:rsidRPr="00771B22" w:rsidRDefault="00261427" w:rsidP="002D2321">
      <w:pPr>
        <w:jc w:val="center"/>
        <w:rPr>
          <w:rFonts w:cs="Arial"/>
          <w:sz w:val="22"/>
          <w:szCs w:val="22"/>
        </w:rPr>
      </w:pPr>
    </w:p>
    <w:p w14:paraId="3376F59D" w14:textId="77777777" w:rsidR="000E321E" w:rsidRPr="00771B22" w:rsidRDefault="000E321E" w:rsidP="002D2321">
      <w:pPr>
        <w:jc w:val="center"/>
        <w:rPr>
          <w:rFonts w:cs="Arial"/>
          <w:sz w:val="22"/>
          <w:szCs w:val="22"/>
        </w:rPr>
      </w:pPr>
    </w:p>
    <w:p w14:paraId="75B969D0" w14:textId="05D99B18"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r w:rsidR="00632779">
        <w:rPr>
          <w:rFonts w:cs="Arial"/>
          <w:sz w:val="22"/>
          <w:szCs w:val="22"/>
        </w:rPr>
        <w:t xml:space="preserve">, </w:t>
      </w:r>
      <w:r w:rsidR="00632779" w:rsidRPr="00632779">
        <w:rPr>
          <w:rFonts w:cs="Arial"/>
          <w:sz w:val="22"/>
          <w:szCs w:val="22"/>
        </w:rPr>
        <w:t>Marktpartneridentifikationsnummer (MP-ID)</w:t>
      </w:r>
      <w:r w:rsidR="00261427" w:rsidRPr="00771B22">
        <w:rPr>
          <w:rFonts w:cs="Arial"/>
          <w:sz w:val="22"/>
          <w:szCs w:val="22"/>
        </w:rPr>
        <w:t>)</w:t>
      </w:r>
    </w:p>
    <w:p w14:paraId="651D5256" w14:textId="77777777" w:rsidR="00261427" w:rsidRPr="00771B22" w:rsidRDefault="00261427" w:rsidP="002D2321">
      <w:pPr>
        <w:jc w:val="center"/>
        <w:rPr>
          <w:rFonts w:cs="Arial"/>
          <w:sz w:val="22"/>
          <w:szCs w:val="22"/>
        </w:rPr>
      </w:pPr>
    </w:p>
    <w:p w14:paraId="30EC9E29" w14:textId="77777777" w:rsidR="00261427" w:rsidRPr="00771B22" w:rsidRDefault="00261427" w:rsidP="002D2321">
      <w:pPr>
        <w:jc w:val="center"/>
        <w:rPr>
          <w:rFonts w:cs="Arial"/>
          <w:sz w:val="22"/>
          <w:szCs w:val="22"/>
        </w:rPr>
      </w:pPr>
    </w:p>
    <w:p w14:paraId="007C5A79" w14:textId="77777777" w:rsidR="00261427" w:rsidRPr="00771B22" w:rsidRDefault="00261427" w:rsidP="002D2321">
      <w:pPr>
        <w:jc w:val="center"/>
        <w:rPr>
          <w:rFonts w:cs="Arial"/>
          <w:sz w:val="22"/>
          <w:szCs w:val="22"/>
        </w:rPr>
      </w:pPr>
    </w:p>
    <w:p w14:paraId="3DA783B0" w14:textId="77777777" w:rsidR="00261427" w:rsidRPr="00771B22" w:rsidRDefault="00261427" w:rsidP="002D2321">
      <w:pPr>
        <w:jc w:val="center"/>
        <w:rPr>
          <w:rFonts w:cs="Arial"/>
          <w:sz w:val="22"/>
          <w:szCs w:val="22"/>
        </w:rPr>
      </w:pPr>
      <w:r w:rsidRPr="00771B22">
        <w:rPr>
          <w:rFonts w:cs="Arial"/>
          <w:sz w:val="22"/>
          <w:szCs w:val="22"/>
        </w:rPr>
        <w:t>- nachfolgend „Netzbetreiber“ genannt -</w:t>
      </w:r>
    </w:p>
    <w:p w14:paraId="5E73C576" w14:textId="77777777" w:rsidR="00261427" w:rsidRPr="00771B22" w:rsidRDefault="00261427" w:rsidP="002D2321">
      <w:pPr>
        <w:jc w:val="center"/>
        <w:rPr>
          <w:rFonts w:cs="Arial"/>
          <w:sz w:val="22"/>
          <w:szCs w:val="22"/>
        </w:rPr>
      </w:pPr>
    </w:p>
    <w:p w14:paraId="1A6B32F6" w14:textId="77777777" w:rsidR="000E321E" w:rsidRPr="00771B22" w:rsidRDefault="000E321E" w:rsidP="002D2321">
      <w:pPr>
        <w:jc w:val="center"/>
        <w:rPr>
          <w:rFonts w:cs="Arial"/>
          <w:sz w:val="22"/>
          <w:szCs w:val="22"/>
        </w:rPr>
      </w:pPr>
    </w:p>
    <w:p w14:paraId="1D8EBAD8" w14:textId="77777777" w:rsidR="00261427" w:rsidRPr="00771B22" w:rsidRDefault="00261427" w:rsidP="002D2321">
      <w:pPr>
        <w:jc w:val="center"/>
        <w:rPr>
          <w:rFonts w:cs="Arial"/>
          <w:sz w:val="22"/>
          <w:szCs w:val="22"/>
        </w:rPr>
      </w:pPr>
      <w:r w:rsidRPr="00771B22">
        <w:rPr>
          <w:rFonts w:cs="Arial"/>
          <w:sz w:val="22"/>
          <w:szCs w:val="22"/>
        </w:rPr>
        <w:t>und</w:t>
      </w:r>
    </w:p>
    <w:p w14:paraId="07A2C225" w14:textId="77777777" w:rsidR="000E321E" w:rsidRPr="00771B22" w:rsidRDefault="000E321E" w:rsidP="002D2321">
      <w:pPr>
        <w:jc w:val="center"/>
        <w:rPr>
          <w:rFonts w:cs="Arial"/>
          <w:sz w:val="22"/>
          <w:szCs w:val="22"/>
        </w:rPr>
      </w:pPr>
    </w:p>
    <w:p w14:paraId="09FEB879" w14:textId="77777777" w:rsidR="00261427" w:rsidRPr="00771B22" w:rsidRDefault="00261427" w:rsidP="002D2321">
      <w:pPr>
        <w:jc w:val="center"/>
        <w:rPr>
          <w:rFonts w:cs="Arial"/>
          <w:sz w:val="22"/>
          <w:szCs w:val="22"/>
        </w:rPr>
      </w:pPr>
    </w:p>
    <w:p w14:paraId="0BF7A1D3" w14:textId="131139C3"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00261427" w:rsidRPr="00771B22">
        <w:rPr>
          <w:rFonts w:cs="Arial"/>
          <w:sz w:val="22"/>
          <w:szCs w:val="22"/>
        </w:rPr>
        <w:t>(Name, Adresse</w:t>
      </w:r>
      <w:r w:rsidR="00632779">
        <w:rPr>
          <w:rFonts w:cs="Arial"/>
          <w:sz w:val="22"/>
          <w:szCs w:val="22"/>
        </w:rPr>
        <w:t xml:space="preserve">, </w:t>
      </w:r>
      <w:r w:rsidR="00632779" w:rsidRPr="00632779">
        <w:rPr>
          <w:rFonts w:cs="Arial"/>
          <w:sz w:val="22"/>
          <w:szCs w:val="22"/>
        </w:rPr>
        <w:t>Marktpartneridentifikationsnummer (MP-ID)</w:t>
      </w:r>
      <w:r w:rsidR="00261427" w:rsidRPr="00771B22">
        <w:rPr>
          <w:rFonts w:cs="Arial"/>
          <w:sz w:val="22"/>
          <w:szCs w:val="22"/>
        </w:rPr>
        <w:t>)</w:t>
      </w:r>
    </w:p>
    <w:p w14:paraId="3607C10B" w14:textId="77777777" w:rsidR="00261427" w:rsidRDefault="00261427" w:rsidP="002D2321">
      <w:pPr>
        <w:jc w:val="center"/>
        <w:rPr>
          <w:rFonts w:cs="Arial"/>
          <w:sz w:val="22"/>
          <w:szCs w:val="22"/>
        </w:rPr>
      </w:pPr>
    </w:p>
    <w:p w14:paraId="62858EF9" w14:textId="77777777" w:rsidR="00DE242E" w:rsidRPr="00771B22" w:rsidRDefault="00DE242E" w:rsidP="002D2321">
      <w:pPr>
        <w:jc w:val="center"/>
        <w:rPr>
          <w:rFonts w:cs="Arial"/>
          <w:sz w:val="22"/>
          <w:szCs w:val="22"/>
        </w:rPr>
      </w:pPr>
    </w:p>
    <w:p w14:paraId="38CAC757" w14:textId="77777777" w:rsidR="00261427" w:rsidRPr="00771B22" w:rsidRDefault="00261427" w:rsidP="002D2321">
      <w:pPr>
        <w:jc w:val="center"/>
        <w:rPr>
          <w:rFonts w:cs="Arial"/>
          <w:sz w:val="22"/>
          <w:szCs w:val="22"/>
        </w:rPr>
      </w:pPr>
    </w:p>
    <w:p w14:paraId="564E2920" w14:textId="77777777" w:rsidR="00DE242E" w:rsidRPr="00771B22" w:rsidRDefault="00261427" w:rsidP="002D2321">
      <w:pPr>
        <w:jc w:val="center"/>
        <w:rPr>
          <w:rFonts w:cs="Arial"/>
          <w:sz w:val="22"/>
          <w:szCs w:val="22"/>
        </w:rPr>
      </w:pPr>
      <w:r w:rsidRPr="00771B22">
        <w:rPr>
          <w:rFonts w:cs="Arial"/>
          <w:sz w:val="22"/>
          <w:szCs w:val="22"/>
        </w:rPr>
        <w:t>- nachfolgend „</w:t>
      </w:r>
      <w:r w:rsidR="00C76E4D">
        <w:rPr>
          <w:rFonts w:cs="Arial"/>
          <w:sz w:val="22"/>
          <w:szCs w:val="22"/>
        </w:rPr>
        <w:t>Transportkunde</w:t>
      </w:r>
      <w:r w:rsidRPr="00771B22">
        <w:rPr>
          <w:rFonts w:cs="Arial"/>
          <w:sz w:val="22"/>
          <w:szCs w:val="22"/>
        </w:rPr>
        <w:t xml:space="preserve">“ genannt </w:t>
      </w:r>
      <w:r w:rsidR="00DE242E">
        <w:rPr>
          <w:rFonts w:cs="Arial"/>
          <w:sz w:val="22"/>
          <w:szCs w:val="22"/>
        </w:rPr>
        <w:t>–</w:t>
      </w:r>
    </w:p>
    <w:p w14:paraId="0F8C8645" w14:textId="77777777" w:rsidR="00261427" w:rsidRPr="00771B22" w:rsidRDefault="00261427" w:rsidP="002D2321">
      <w:pPr>
        <w:jc w:val="center"/>
        <w:rPr>
          <w:rFonts w:cs="Arial"/>
          <w:sz w:val="22"/>
          <w:szCs w:val="22"/>
        </w:rPr>
      </w:pPr>
    </w:p>
    <w:p w14:paraId="1D07D026" w14:textId="77777777"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14:paraId="4FC8F56E" w14:textId="77777777" w:rsidR="00261427" w:rsidRPr="00771B22" w:rsidRDefault="00261427" w:rsidP="002D2321">
      <w:pPr>
        <w:jc w:val="center"/>
        <w:rPr>
          <w:rFonts w:cs="Arial"/>
          <w:sz w:val="22"/>
          <w:szCs w:val="22"/>
        </w:rPr>
      </w:pPr>
    </w:p>
    <w:p w14:paraId="6B7C5C91" w14:textId="77777777" w:rsidR="00261427" w:rsidRPr="00771B22" w:rsidRDefault="00261427" w:rsidP="00680FE0">
      <w:pPr>
        <w:rPr>
          <w:rFonts w:cs="Arial"/>
          <w:sz w:val="22"/>
          <w:szCs w:val="22"/>
        </w:rPr>
      </w:pPr>
    </w:p>
    <w:p w14:paraId="1CF81E30" w14:textId="77777777" w:rsidR="000E321E" w:rsidRPr="00771B22" w:rsidRDefault="000E321E" w:rsidP="00680FE0">
      <w:pPr>
        <w:rPr>
          <w:rFonts w:cs="Arial"/>
          <w:sz w:val="22"/>
          <w:szCs w:val="22"/>
        </w:rPr>
      </w:pPr>
    </w:p>
    <w:p w14:paraId="75AAE67C" w14:textId="77777777" w:rsidR="000E321E" w:rsidRPr="00771B22" w:rsidRDefault="000E321E" w:rsidP="00680FE0">
      <w:pPr>
        <w:rPr>
          <w:rFonts w:cs="Arial"/>
          <w:sz w:val="22"/>
          <w:szCs w:val="22"/>
        </w:rPr>
      </w:pPr>
    </w:p>
    <w:p w14:paraId="38591517" w14:textId="77777777" w:rsidR="00261427" w:rsidRPr="00771B22" w:rsidRDefault="00261427" w:rsidP="00680FE0">
      <w:pPr>
        <w:rPr>
          <w:rFonts w:cs="Arial"/>
          <w:sz w:val="22"/>
          <w:szCs w:val="22"/>
        </w:rPr>
      </w:pPr>
      <w:r w:rsidRPr="00771B22">
        <w:rPr>
          <w:rFonts w:cs="Arial"/>
          <w:sz w:val="22"/>
          <w:szCs w:val="22"/>
        </w:rPr>
        <w:t xml:space="preserve">wird folgender Vertrag geschlossen. </w:t>
      </w:r>
    </w:p>
    <w:p w14:paraId="4C8AD884" w14:textId="77777777" w:rsidR="00261427" w:rsidRPr="00771B22" w:rsidRDefault="00261427" w:rsidP="00680FE0">
      <w:pPr>
        <w:rPr>
          <w:rFonts w:cs="Arial"/>
          <w:sz w:val="22"/>
          <w:szCs w:val="22"/>
        </w:rPr>
      </w:pPr>
    </w:p>
    <w:p w14:paraId="05A10C89" w14:textId="77777777" w:rsidR="00261427" w:rsidRPr="00771B22" w:rsidRDefault="00261427" w:rsidP="00680FE0">
      <w:pPr>
        <w:rPr>
          <w:rFonts w:cs="Arial"/>
          <w:sz w:val="22"/>
          <w:szCs w:val="22"/>
        </w:rPr>
      </w:pPr>
    </w:p>
    <w:p w14:paraId="0E6A8950" w14:textId="77777777" w:rsidR="00261427" w:rsidRPr="00771B22" w:rsidRDefault="00261427" w:rsidP="00680FE0">
      <w:pPr>
        <w:rPr>
          <w:rFonts w:cs="Arial"/>
          <w:sz w:val="22"/>
          <w:szCs w:val="22"/>
        </w:rPr>
      </w:pPr>
    </w:p>
    <w:p w14:paraId="2822759D" w14:textId="77777777" w:rsidR="000E321E" w:rsidRPr="00771B22" w:rsidRDefault="000E321E">
      <w:pPr>
        <w:rPr>
          <w:rFonts w:cs="Arial"/>
          <w:sz w:val="22"/>
          <w:szCs w:val="22"/>
        </w:rPr>
      </w:pPr>
      <w:r w:rsidRPr="00771B22">
        <w:rPr>
          <w:rFonts w:cs="Arial"/>
          <w:sz w:val="22"/>
          <w:szCs w:val="22"/>
        </w:rPr>
        <w:br w:type="page"/>
      </w:r>
    </w:p>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p w14:paraId="4D06E0AD" w14:textId="77777777" w:rsidR="00915A64" w:rsidRDefault="00915A64" w:rsidP="001A1461">
          <w:pPr>
            <w:pStyle w:val="Inhaltsverzeichnisberschrift"/>
            <w:rPr>
              <w:rFonts w:ascii="Arial" w:eastAsia="Times New Roman" w:hAnsi="Arial" w:cs="Arial"/>
              <w:color w:val="auto"/>
              <w:sz w:val="22"/>
              <w:szCs w:val="22"/>
            </w:rPr>
          </w:pPr>
          <w:r w:rsidRPr="001A1461">
            <w:rPr>
              <w:rFonts w:ascii="Arial" w:eastAsia="Times New Roman" w:hAnsi="Arial" w:cs="Arial"/>
              <w:color w:val="auto"/>
              <w:sz w:val="22"/>
              <w:szCs w:val="22"/>
            </w:rPr>
            <w:t>Inhaltsverzeichnis</w:t>
          </w:r>
        </w:p>
        <w:p w14:paraId="1BE6221E" w14:textId="77777777" w:rsidR="001A1461" w:rsidRPr="001A1461" w:rsidRDefault="001A1461" w:rsidP="001A1461"/>
        <w:p w14:paraId="659665C9" w14:textId="6AEF68EF" w:rsidR="00453DF1" w:rsidRDefault="00C51800">
          <w:pPr>
            <w:pStyle w:val="Verzeichnis1"/>
            <w:rPr>
              <w:rFonts w:asciiTheme="minorHAnsi" w:eastAsiaTheme="minorEastAsia" w:hAnsiTheme="minorHAnsi" w:cstheme="minorBidi"/>
              <w:noProof/>
              <w:sz w:val="22"/>
              <w:szCs w:val="22"/>
            </w:rPr>
          </w:pPr>
          <w:r w:rsidRPr="007251AB">
            <w:rPr>
              <w:rFonts w:eastAsiaTheme="majorEastAsia" w:cs="Arial"/>
              <w:b/>
              <w:bCs/>
              <w:sz w:val="22"/>
              <w:szCs w:val="28"/>
            </w:rPr>
            <w:fldChar w:fldCharType="begin"/>
          </w:r>
          <w:r w:rsidR="006B29D0" w:rsidRPr="007251AB">
            <w:rPr>
              <w:rFonts w:eastAsiaTheme="majorEastAsia" w:cs="Arial"/>
              <w:b/>
              <w:bCs/>
              <w:sz w:val="22"/>
              <w:szCs w:val="28"/>
            </w:rPr>
            <w:instrText xml:space="preserve"> TOC \o "1-3" \h \z \u </w:instrText>
          </w:r>
          <w:r w:rsidRPr="007251AB">
            <w:rPr>
              <w:rFonts w:eastAsiaTheme="majorEastAsia" w:cs="Arial"/>
              <w:b/>
              <w:bCs/>
              <w:sz w:val="22"/>
              <w:szCs w:val="28"/>
            </w:rPr>
            <w:fldChar w:fldCharType="separate"/>
          </w:r>
          <w:hyperlink w:anchor="_Toc99480689" w:history="1">
            <w:r w:rsidR="00453DF1" w:rsidRPr="00BA72BD">
              <w:rPr>
                <w:rStyle w:val="Hyperlink"/>
                <w:noProof/>
              </w:rPr>
              <w:t>Anlage 3: Lieferantenrahmenvertrag Gas</w:t>
            </w:r>
            <w:r w:rsidR="00453DF1">
              <w:rPr>
                <w:noProof/>
                <w:webHidden/>
              </w:rPr>
              <w:tab/>
            </w:r>
            <w:r w:rsidR="00453DF1">
              <w:rPr>
                <w:noProof/>
                <w:webHidden/>
              </w:rPr>
              <w:fldChar w:fldCharType="begin"/>
            </w:r>
            <w:r w:rsidR="00453DF1">
              <w:rPr>
                <w:noProof/>
                <w:webHidden/>
              </w:rPr>
              <w:instrText xml:space="preserve"> PAGEREF _Toc99480689 \h </w:instrText>
            </w:r>
            <w:r w:rsidR="00453DF1">
              <w:rPr>
                <w:noProof/>
                <w:webHidden/>
              </w:rPr>
            </w:r>
            <w:r w:rsidR="00453DF1">
              <w:rPr>
                <w:noProof/>
                <w:webHidden/>
              </w:rPr>
              <w:fldChar w:fldCharType="separate"/>
            </w:r>
            <w:r w:rsidR="00453DF1">
              <w:rPr>
                <w:noProof/>
                <w:webHidden/>
              </w:rPr>
              <w:t>1</w:t>
            </w:r>
            <w:r w:rsidR="00453DF1">
              <w:rPr>
                <w:noProof/>
                <w:webHidden/>
              </w:rPr>
              <w:fldChar w:fldCharType="end"/>
            </w:r>
          </w:hyperlink>
        </w:p>
        <w:p w14:paraId="55CBBAA4" w14:textId="3FDBB2D5"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0" w:history="1">
            <w:r w:rsidR="00453DF1" w:rsidRPr="00BA72BD">
              <w:rPr>
                <w:rStyle w:val="Hyperlink"/>
                <w:noProof/>
              </w:rPr>
              <w:t>§ 1 Vertragsgegenstand</w:t>
            </w:r>
            <w:r w:rsidR="00453DF1">
              <w:rPr>
                <w:noProof/>
                <w:webHidden/>
              </w:rPr>
              <w:tab/>
            </w:r>
            <w:r w:rsidR="00453DF1">
              <w:rPr>
                <w:noProof/>
                <w:webHidden/>
              </w:rPr>
              <w:fldChar w:fldCharType="begin"/>
            </w:r>
            <w:r w:rsidR="00453DF1">
              <w:rPr>
                <w:noProof/>
                <w:webHidden/>
              </w:rPr>
              <w:instrText xml:space="preserve"> PAGEREF _Toc99480690 \h </w:instrText>
            </w:r>
            <w:r w:rsidR="00453DF1">
              <w:rPr>
                <w:noProof/>
                <w:webHidden/>
              </w:rPr>
            </w:r>
            <w:r w:rsidR="00453DF1">
              <w:rPr>
                <w:noProof/>
                <w:webHidden/>
              </w:rPr>
              <w:fldChar w:fldCharType="separate"/>
            </w:r>
            <w:r w:rsidR="00453DF1">
              <w:rPr>
                <w:noProof/>
                <w:webHidden/>
              </w:rPr>
              <w:t>3</w:t>
            </w:r>
            <w:r w:rsidR="00453DF1">
              <w:rPr>
                <w:noProof/>
                <w:webHidden/>
              </w:rPr>
              <w:fldChar w:fldCharType="end"/>
            </w:r>
          </w:hyperlink>
        </w:p>
        <w:p w14:paraId="03C411A1" w14:textId="08E16B54"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1" w:history="1">
            <w:r w:rsidR="00453DF1" w:rsidRPr="00BA72BD">
              <w:rPr>
                <w:rStyle w:val="Hyperlink"/>
                <w:noProof/>
              </w:rPr>
              <w:t>§ 2 Netzzugang</w:t>
            </w:r>
            <w:r w:rsidR="00453DF1">
              <w:rPr>
                <w:noProof/>
                <w:webHidden/>
              </w:rPr>
              <w:tab/>
            </w:r>
            <w:r w:rsidR="00453DF1">
              <w:rPr>
                <w:noProof/>
                <w:webHidden/>
              </w:rPr>
              <w:fldChar w:fldCharType="begin"/>
            </w:r>
            <w:r w:rsidR="00453DF1">
              <w:rPr>
                <w:noProof/>
                <w:webHidden/>
              </w:rPr>
              <w:instrText xml:space="preserve"> PAGEREF _Toc99480691 \h </w:instrText>
            </w:r>
            <w:r w:rsidR="00453DF1">
              <w:rPr>
                <w:noProof/>
                <w:webHidden/>
              </w:rPr>
            </w:r>
            <w:r w:rsidR="00453DF1">
              <w:rPr>
                <w:noProof/>
                <w:webHidden/>
              </w:rPr>
              <w:fldChar w:fldCharType="separate"/>
            </w:r>
            <w:r w:rsidR="00453DF1">
              <w:rPr>
                <w:noProof/>
                <w:webHidden/>
              </w:rPr>
              <w:t>3</w:t>
            </w:r>
            <w:r w:rsidR="00453DF1">
              <w:rPr>
                <w:noProof/>
                <w:webHidden/>
              </w:rPr>
              <w:fldChar w:fldCharType="end"/>
            </w:r>
          </w:hyperlink>
        </w:p>
        <w:p w14:paraId="13E4FE1F" w14:textId="33F9BEFC"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2" w:history="1">
            <w:r w:rsidR="00453DF1" w:rsidRPr="00BA72BD">
              <w:rPr>
                <w:rStyle w:val="Hyperlink"/>
                <w:noProof/>
              </w:rPr>
              <w:t>§ 3 Voraussetzungen der Netznutzung</w:t>
            </w:r>
            <w:r w:rsidR="00453DF1">
              <w:rPr>
                <w:noProof/>
                <w:webHidden/>
              </w:rPr>
              <w:tab/>
            </w:r>
            <w:r w:rsidR="00453DF1">
              <w:rPr>
                <w:noProof/>
                <w:webHidden/>
              </w:rPr>
              <w:fldChar w:fldCharType="begin"/>
            </w:r>
            <w:r w:rsidR="00453DF1">
              <w:rPr>
                <w:noProof/>
                <w:webHidden/>
              </w:rPr>
              <w:instrText xml:space="preserve"> PAGEREF _Toc99480692 \h </w:instrText>
            </w:r>
            <w:r w:rsidR="00453DF1">
              <w:rPr>
                <w:noProof/>
                <w:webHidden/>
              </w:rPr>
            </w:r>
            <w:r w:rsidR="00453DF1">
              <w:rPr>
                <w:noProof/>
                <w:webHidden/>
              </w:rPr>
              <w:fldChar w:fldCharType="separate"/>
            </w:r>
            <w:r w:rsidR="00453DF1">
              <w:rPr>
                <w:noProof/>
                <w:webHidden/>
              </w:rPr>
              <w:t>4</w:t>
            </w:r>
            <w:r w:rsidR="00453DF1">
              <w:rPr>
                <w:noProof/>
                <w:webHidden/>
              </w:rPr>
              <w:fldChar w:fldCharType="end"/>
            </w:r>
          </w:hyperlink>
        </w:p>
        <w:p w14:paraId="52F59A51" w14:textId="6FC6E546"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3" w:history="1">
            <w:r w:rsidR="00453DF1" w:rsidRPr="00BA72BD">
              <w:rPr>
                <w:rStyle w:val="Hyperlink"/>
                <w:noProof/>
              </w:rPr>
              <w:t>§ 4 Gasbeschaffenheit</w:t>
            </w:r>
            <w:r w:rsidR="00453DF1">
              <w:rPr>
                <w:noProof/>
                <w:webHidden/>
              </w:rPr>
              <w:tab/>
            </w:r>
            <w:r w:rsidR="00453DF1">
              <w:rPr>
                <w:noProof/>
                <w:webHidden/>
              </w:rPr>
              <w:fldChar w:fldCharType="begin"/>
            </w:r>
            <w:r w:rsidR="00453DF1">
              <w:rPr>
                <w:noProof/>
                <w:webHidden/>
              </w:rPr>
              <w:instrText xml:space="preserve"> PAGEREF _Toc99480693 \h </w:instrText>
            </w:r>
            <w:r w:rsidR="00453DF1">
              <w:rPr>
                <w:noProof/>
                <w:webHidden/>
              </w:rPr>
            </w:r>
            <w:r w:rsidR="00453DF1">
              <w:rPr>
                <w:noProof/>
                <w:webHidden/>
              </w:rPr>
              <w:fldChar w:fldCharType="separate"/>
            </w:r>
            <w:r w:rsidR="00453DF1">
              <w:rPr>
                <w:noProof/>
                <w:webHidden/>
              </w:rPr>
              <w:t>5</w:t>
            </w:r>
            <w:r w:rsidR="00453DF1">
              <w:rPr>
                <w:noProof/>
                <w:webHidden/>
              </w:rPr>
              <w:fldChar w:fldCharType="end"/>
            </w:r>
          </w:hyperlink>
        </w:p>
        <w:p w14:paraId="332DF1F7" w14:textId="760F61E9"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4" w:history="1">
            <w:r w:rsidR="00453DF1" w:rsidRPr="00BA72BD">
              <w:rPr>
                <w:rStyle w:val="Hyperlink"/>
                <w:noProof/>
              </w:rPr>
              <w:t>§ 5 Geschäftsprozesse und Datenaustausch zur Abwicklung der Netznutzung</w:t>
            </w:r>
            <w:r w:rsidR="00453DF1">
              <w:rPr>
                <w:noProof/>
                <w:webHidden/>
              </w:rPr>
              <w:tab/>
            </w:r>
            <w:r w:rsidR="00453DF1">
              <w:rPr>
                <w:noProof/>
                <w:webHidden/>
              </w:rPr>
              <w:fldChar w:fldCharType="begin"/>
            </w:r>
            <w:r w:rsidR="00453DF1">
              <w:rPr>
                <w:noProof/>
                <w:webHidden/>
              </w:rPr>
              <w:instrText xml:space="preserve"> PAGEREF _Toc99480694 \h </w:instrText>
            </w:r>
            <w:r w:rsidR="00453DF1">
              <w:rPr>
                <w:noProof/>
                <w:webHidden/>
              </w:rPr>
            </w:r>
            <w:r w:rsidR="00453DF1">
              <w:rPr>
                <w:noProof/>
                <w:webHidden/>
              </w:rPr>
              <w:fldChar w:fldCharType="separate"/>
            </w:r>
            <w:r w:rsidR="00453DF1">
              <w:rPr>
                <w:noProof/>
                <w:webHidden/>
              </w:rPr>
              <w:t>6</w:t>
            </w:r>
            <w:r w:rsidR="00453DF1">
              <w:rPr>
                <w:noProof/>
                <w:webHidden/>
              </w:rPr>
              <w:fldChar w:fldCharType="end"/>
            </w:r>
          </w:hyperlink>
        </w:p>
        <w:p w14:paraId="04A850B9" w14:textId="7B7C38FD"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5" w:history="1">
            <w:r w:rsidR="00453DF1" w:rsidRPr="00BA72BD">
              <w:rPr>
                <w:rStyle w:val="Hyperlink"/>
                <w:noProof/>
              </w:rPr>
              <w:t>§ 6 Registrierende Leistungsmessung und Standardlastprofilverfahren</w:t>
            </w:r>
            <w:r w:rsidR="00453DF1">
              <w:rPr>
                <w:noProof/>
                <w:webHidden/>
              </w:rPr>
              <w:tab/>
            </w:r>
            <w:r w:rsidR="00453DF1">
              <w:rPr>
                <w:noProof/>
                <w:webHidden/>
              </w:rPr>
              <w:fldChar w:fldCharType="begin"/>
            </w:r>
            <w:r w:rsidR="00453DF1">
              <w:rPr>
                <w:noProof/>
                <w:webHidden/>
              </w:rPr>
              <w:instrText xml:space="preserve"> PAGEREF _Toc99480695 \h </w:instrText>
            </w:r>
            <w:r w:rsidR="00453DF1">
              <w:rPr>
                <w:noProof/>
                <w:webHidden/>
              </w:rPr>
            </w:r>
            <w:r w:rsidR="00453DF1">
              <w:rPr>
                <w:noProof/>
                <w:webHidden/>
              </w:rPr>
              <w:fldChar w:fldCharType="separate"/>
            </w:r>
            <w:r w:rsidR="00453DF1">
              <w:rPr>
                <w:noProof/>
                <w:webHidden/>
              </w:rPr>
              <w:t>6</w:t>
            </w:r>
            <w:r w:rsidR="00453DF1">
              <w:rPr>
                <w:noProof/>
                <w:webHidden/>
              </w:rPr>
              <w:fldChar w:fldCharType="end"/>
            </w:r>
          </w:hyperlink>
        </w:p>
        <w:p w14:paraId="482D8154" w14:textId="7850E15E"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6" w:history="1">
            <w:r w:rsidR="00453DF1" w:rsidRPr="00BA72BD">
              <w:rPr>
                <w:rStyle w:val="Hyperlink"/>
                <w:noProof/>
              </w:rPr>
              <w:t>§ 7 Messstellenbetrieb</w:t>
            </w:r>
            <w:r w:rsidR="00453DF1">
              <w:rPr>
                <w:noProof/>
                <w:webHidden/>
              </w:rPr>
              <w:tab/>
            </w:r>
            <w:r w:rsidR="00453DF1">
              <w:rPr>
                <w:noProof/>
                <w:webHidden/>
              </w:rPr>
              <w:fldChar w:fldCharType="begin"/>
            </w:r>
            <w:r w:rsidR="00453DF1">
              <w:rPr>
                <w:noProof/>
                <w:webHidden/>
              </w:rPr>
              <w:instrText xml:space="preserve"> PAGEREF _Toc99480696 \h </w:instrText>
            </w:r>
            <w:r w:rsidR="00453DF1">
              <w:rPr>
                <w:noProof/>
                <w:webHidden/>
              </w:rPr>
            </w:r>
            <w:r w:rsidR="00453DF1">
              <w:rPr>
                <w:noProof/>
                <w:webHidden/>
              </w:rPr>
              <w:fldChar w:fldCharType="separate"/>
            </w:r>
            <w:r w:rsidR="00453DF1">
              <w:rPr>
                <w:noProof/>
                <w:webHidden/>
              </w:rPr>
              <w:t>7</w:t>
            </w:r>
            <w:r w:rsidR="00453DF1">
              <w:rPr>
                <w:noProof/>
                <w:webHidden/>
              </w:rPr>
              <w:fldChar w:fldCharType="end"/>
            </w:r>
          </w:hyperlink>
        </w:p>
        <w:p w14:paraId="14C74F3B" w14:textId="639BBEDA"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7" w:history="1">
            <w:r w:rsidR="00453DF1" w:rsidRPr="00BA72BD">
              <w:rPr>
                <w:rStyle w:val="Hyperlink"/>
                <w:noProof/>
              </w:rPr>
              <w:t>§ 8 Entgelte</w:t>
            </w:r>
            <w:r w:rsidR="00453DF1">
              <w:rPr>
                <w:noProof/>
                <w:webHidden/>
              </w:rPr>
              <w:tab/>
            </w:r>
            <w:r w:rsidR="00453DF1">
              <w:rPr>
                <w:noProof/>
                <w:webHidden/>
              </w:rPr>
              <w:fldChar w:fldCharType="begin"/>
            </w:r>
            <w:r w:rsidR="00453DF1">
              <w:rPr>
                <w:noProof/>
                <w:webHidden/>
              </w:rPr>
              <w:instrText xml:space="preserve"> PAGEREF _Toc99480697 \h </w:instrText>
            </w:r>
            <w:r w:rsidR="00453DF1">
              <w:rPr>
                <w:noProof/>
                <w:webHidden/>
              </w:rPr>
            </w:r>
            <w:r w:rsidR="00453DF1">
              <w:rPr>
                <w:noProof/>
                <w:webHidden/>
              </w:rPr>
              <w:fldChar w:fldCharType="separate"/>
            </w:r>
            <w:r w:rsidR="00453DF1">
              <w:rPr>
                <w:noProof/>
                <w:webHidden/>
              </w:rPr>
              <w:t>10</w:t>
            </w:r>
            <w:r w:rsidR="00453DF1">
              <w:rPr>
                <w:noProof/>
                <w:webHidden/>
              </w:rPr>
              <w:fldChar w:fldCharType="end"/>
            </w:r>
          </w:hyperlink>
        </w:p>
        <w:p w14:paraId="3D374A7F" w14:textId="21870F53"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8" w:history="1">
            <w:r w:rsidR="00453DF1" w:rsidRPr="00BA72BD">
              <w:rPr>
                <w:rStyle w:val="Hyperlink"/>
                <w:noProof/>
              </w:rPr>
              <w:t>§ 9 Abrechnung, Zahlung und Verzug</w:t>
            </w:r>
            <w:r w:rsidR="00453DF1">
              <w:rPr>
                <w:noProof/>
                <w:webHidden/>
              </w:rPr>
              <w:tab/>
            </w:r>
            <w:r w:rsidR="00453DF1">
              <w:rPr>
                <w:noProof/>
                <w:webHidden/>
              </w:rPr>
              <w:fldChar w:fldCharType="begin"/>
            </w:r>
            <w:r w:rsidR="00453DF1">
              <w:rPr>
                <w:noProof/>
                <w:webHidden/>
              </w:rPr>
              <w:instrText xml:space="preserve"> PAGEREF _Toc99480698 \h </w:instrText>
            </w:r>
            <w:r w:rsidR="00453DF1">
              <w:rPr>
                <w:noProof/>
                <w:webHidden/>
              </w:rPr>
            </w:r>
            <w:r w:rsidR="00453DF1">
              <w:rPr>
                <w:noProof/>
                <w:webHidden/>
              </w:rPr>
              <w:fldChar w:fldCharType="separate"/>
            </w:r>
            <w:r w:rsidR="00453DF1">
              <w:rPr>
                <w:noProof/>
                <w:webHidden/>
              </w:rPr>
              <w:t>11</w:t>
            </w:r>
            <w:r w:rsidR="00453DF1">
              <w:rPr>
                <w:noProof/>
                <w:webHidden/>
              </w:rPr>
              <w:fldChar w:fldCharType="end"/>
            </w:r>
          </w:hyperlink>
        </w:p>
        <w:p w14:paraId="0D31CF98" w14:textId="0CDA810F"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699" w:history="1">
            <w:r w:rsidR="00453DF1" w:rsidRPr="00BA72BD">
              <w:rPr>
                <w:rStyle w:val="Hyperlink"/>
                <w:noProof/>
              </w:rPr>
              <w:t>§ 10 Ausgleich von SLP-Mehr-/ Mindermengen</w:t>
            </w:r>
            <w:r w:rsidR="00453DF1">
              <w:rPr>
                <w:noProof/>
                <w:webHidden/>
              </w:rPr>
              <w:tab/>
            </w:r>
            <w:r w:rsidR="00453DF1">
              <w:rPr>
                <w:noProof/>
                <w:webHidden/>
              </w:rPr>
              <w:fldChar w:fldCharType="begin"/>
            </w:r>
            <w:r w:rsidR="00453DF1">
              <w:rPr>
                <w:noProof/>
                <w:webHidden/>
              </w:rPr>
              <w:instrText xml:space="preserve"> PAGEREF _Toc99480699 \h </w:instrText>
            </w:r>
            <w:r w:rsidR="00453DF1">
              <w:rPr>
                <w:noProof/>
                <w:webHidden/>
              </w:rPr>
            </w:r>
            <w:r w:rsidR="00453DF1">
              <w:rPr>
                <w:noProof/>
                <w:webHidden/>
              </w:rPr>
              <w:fldChar w:fldCharType="separate"/>
            </w:r>
            <w:r w:rsidR="00453DF1">
              <w:rPr>
                <w:noProof/>
                <w:webHidden/>
              </w:rPr>
              <w:t>13</w:t>
            </w:r>
            <w:r w:rsidR="00453DF1">
              <w:rPr>
                <w:noProof/>
                <w:webHidden/>
              </w:rPr>
              <w:fldChar w:fldCharType="end"/>
            </w:r>
          </w:hyperlink>
        </w:p>
        <w:p w14:paraId="4AF5AB72" w14:textId="2C698B95"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0" w:history="1">
            <w:r w:rsidR="00453DF1" w:rsidRPr="00BA72BD">
              <w:rPr>
                <w:rStyle w:val="Hyperlink"/>
                <w:noProof/>
              </w:rPr>
              <w:t>§ 11 Störungen und Unterbrechungen der Netznutzung</w:t>
            </w:r>
            <w:r w:rsidR="00453DF1">
              <w:rPr>
                <w:noProof/>
                <w:webHidden/>
              </w:rPr>
              <w:tab/>
            </w:r>
            <w:r w:rsidR="00453DF1">
              <w:rPr>
                <w:noProof/>
                <w:webHidden/>
              </w:rPr>
              <w:fldChar w:fldCharType="begin"/>
            </w:r>
            <w:r w:rsidR="00453DF1">
              <w:rPr>
                <w:noProof/>
                <w:webHidden/>
              </w:rPr>
              <w:instrText xml:space="preserve"> PAGEREF _Toc99480700 \h </w:instrText>
            </w:r>
            <w:r w:rsidR="00453DF1">
              <w:rPr>
                <w:noProof/>
                <w:webHidden/>
              </w:rPr>
            </w:r>
            <w:r w:rsidR="00453DF1">
              <w:rPr>
                <w:noProof/>
                <w:webHidden/>
              </w:rPr>
              <w:fldChar w:fldCharType="separate"/>
            </w:r>
            <w:r w:rsidR="00453DF1">
              <w:rPr>
                <w:noProof/>
                <w:webHidden/>
              </w:rPr>
              <w:t>15</w:t>
            </w:r>
            <w:r w:rsidR="00453DF1">
              <w:rPr>
                <w:noProof/>
                <w:webHidden/>
              </w:rPr>
              <w:fldChar w:fldCharType="end"/>
            </w:r>
          </w:hyperlink>
        </w:p>
        <w:p w14:paraId="4DBF1B37" w14:textId="19B316D8"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1" w:history="1">
            <w:r w:rsidR="00453DF1" w:rsidRPr="00BA72BD">
              <w:rPr>
                <w:rStyle w:val="Hyperlink"/>
                <w:noProof/>
              </w:rPr>
              <w:t>§ 12 Vorauszahlung</w:t>
            </w:r>
            <w:r w:rsidR="00453DF1">
              <w:rPr>
                <w:noProof/>
                <w:webHidden/>
              </w:rPr>
              <w:tab/>
            </w:r>
            <w:r w:rsidR="00453DF1">
              <w:rPr>
                <w:noProof/>
                <w:webHidden/>
              </w:rPr>
              <w:fldChar w:fldCharType="begin"/>
            </w:r>
            <w:r w:rsidR="00453DF1">
              <w:rPr>
                <w:noProof/>
                <w:webHidden/>
              </w:rPr>
              <w:instrText xml:space="preserve"> PAGEREF _Toc99480701 \h </w:instrText>
            </w:r>
            <w:r w:rsidR="00453DF1">
              <w:rPr>
                <w:noProof/>
                <w:webHidden/>
              </w:rPr>
            </w:r>
            <w:r w:rsidR="00453DF1">
              <w:rPr>
                <w:noProof/>
                <w:webHidden/>
              </w:rPr>
              <w:fldChar w:fldCharType="separate"/>
            </w:r>
            <w:r w:rsidR="00453DF1">
              <w:rPr>
                <w:noProof/>
                <w:webHidden/>
              </w:rPr>
              <w:t>16</w:t>
            </w:r>
            <w:r w:rsidR="00453DF1">
              <w:rPr>
                <w:noProof/>
                <w:webHidden/>
              </w:rPr>
              <w:fldChar w:fldCharType="end"/>
            </w:r>
          </w:hyperlink>
        </w:p>
        <w:p w14:paraId="3783EEEA" w14:textId="45A5FF8F"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2" w:history="1">
            <w:r w:rsidR="00453DF1" w:rsidRPr="00BA72BD">
              <w:rPr>
                <w:rStyle w:val="Hyperlink"/>
                <w:noProof/>
              </w:rPr>
              <w:t>§ 13 Haftung</w:t>
            </w:r>
            <w:r w:rsidR="00453DF1">
              <w:rPr>
                <w:noProof/>
                <w:webHidden/>
              </w:rPr>
              <w:tab/>
            </w:r>
            <w:r w:rsidR="00453DF1">
              <w:rPr>
                <w:noProof/>
                <w:webHidden/>
              </w:rPr>
              <w:fldChar w:fldCharType="begin"/>
            </w:r>
            <w:r w:rsidR="00453DF1">
              <w:rPr>
                <w:noProof/>
                <w:webHidden/>
              </w:rPr>
              <w:instrText xml:space="preserve"> PAGEREF _Toc99480702 \h </w:instrText>
            </w:r>
            <w:r w:rsidR="00453DF1">
              <w:rPr>
                <w:noProof/>
                <w:webHidden/>
              </w:rPr>
            </w:r>
            <w:r w:rsidR="00453DF1">
              <w:rPr>
                <w:noProof/>
                <w:webHidden/>
              </w:rPr>
              <w:fldChar w:fldCharType="separate"/>
            </w:r>
            <w:r w:rsidR="00453DF1">
              <w:rPr>
                <w:noProof/>
                <w:webHidden/>
              </w:rPr>
              <w:t>17</w:t>
            </w:r>
            <w:r w:rsidR="00453DF1">
              <w:rPr>
                <w:noProof/>
                <w:webHidden/>
              </w:rPr>
              <w:fldChar w:fldCharType="end"/>
            </w:r>
          </w:hyperlink>
        </w:p>
        <w:p w14:paraId="5B7149FE" w14:textId="1CA45392"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3" w:history="1">
            <w:r w:rsidR="00453DF1" w:rsidRPr="00BA72BD">
              <w:rPr>
                <w:rStyle w:val="Hyperlink"/>
                <w:noProof/>
              </w:rPr>
              <w:t>§ 14 Vertragslaufzeit und Kündigung</w:t>
            </w:r>
            <w:r w:rsidR="00453DF1">
              <w:rPr>
                <w:noProof/>
                <w:webHidden/>
              </w:rPr>
              <w:tab/>
            </w:r>
            <w:r w:rsidR="00453DF1">
              <w:rPr>
                <w:noProof/>
                <w:webHidden/>
              </w:rPr>
              <w:fldChar w:fldCharType="begin"/>
            </w:r>
            <w:r w:rsidR="00453DF1">
              <w:rPr>
                <w:noProof/>
                <w:webHidden/>
              </w:rPr>
              <w:instrText xml:space="preserve"> PAGEREF _Toc99480703 \h </w:instrText>
            </w:r>
            <w:r w:rsidR="00453DF1">
              <w:rPr>
                <w:noProof/>
                <w:webHidden/>
              </w:rPr>
            </w:r>
            <w:r w:rsidR="00453DF1">
              <w:rPr>
                <w:noProof/>
                <w:webHidden/>
              </w:rPr>
              <w:fldChar w:fldCharType="separate"/>
            </w:r>
            <w:r w:rsidR="00453DF1">
              <w:rPr>
                <w:noProof/>
                <w:webHidden/>
              </w:rPr>
              <w:t>18</w:t>
            </w:r>
            <w:r w:rsidR="00453DF1">
              <w:rPr>
                <w:noProof/>
                <w:webHidden/>
              </w:rPr>
              <w:fldChar w:fldCharType="end"/>
            </w:r>
          </w:hyperlink>
        </w:p>
        <w:p w14:paraId="24307DF3" w14:textId="148B352E"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4" w:history="1">
            <w:r w:rsidR="00453DF1" w:rsidRPr="00BA72BD">
              <w:rPr>
                <w:rStyle w:val="Hyperlink"/>
                <w:noProof/>
              </w:rPr>
              <w:t>§ 15 Ansprechpartner</w:t>
            </w:r>
            <w:r w:rsidR="00453DF1">
              <w:rPr>
                <w:noProof/>
                <w:webHidden/>
              </w:rPr>
              <w:tab/>
            </w:r>
            <w:r w:rsidR="00453DF1">
              <w:rPr>
                <w:noProof/>
                <w:webHidden/>
              </w:rPr>
              <w:fldChar w:fldCharType="begin"/>
            </w:r>
            <w:r w:rsidR="00453DF1">
              <w:rPr>
                <w:noProof/>
                <w:webHidden/>
              </w:rPr>
              <w:instrText xml:space="preserve"> PAGEREF _Toc99480704 \h </w:instrText>
            </w:r>
            <w:r w:rsidR="00453DF1">
              <w:rPr>
                <w:noProof/>
                <w:webHidden/>
              </w:rPr>
            </w:r>
            <w:r w:rsidR="00453DF1">
              <w:rPr>
                <w:noProof/>
                <w:webHidden/>
              </w:rPr>
              <w:fldChar w:fldCharType="separate"/>
            </w:r>
            <w:r w:rsidR="00453DF1">
              <w:rPr>
                <w:noProof/>
                <w:webHidden/>
              </w:rPr>
              <w:t>19</w:t>
            </w:r>
            <w:r w:rsidR="00453DF1">
              <w:rPr>
                <w:noProof/>
                <w:webHidden/>
              </w:rPr>
              <w:fldChar w:fldCharType="end"/>
            </w:r>
          </w:hyperlink>
        </w:p>
        <w:p w14:paraId="735CA399" w14:textId="0BCEF7DB"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5" w:history="1">
            <w:r w:rsidR="00453DF1" w:rsidRPr="00BA72BD">
              <w:rPr>
                <w:rStyle w:val="Hyperlink"/>
                <w:noProof/>
              </w:rPr>
              <w:t>§ 16 Datenaustausch und Vertraulichkeit</w:t>
            </w:r>
            <w:r w:rsidR="00453DF1">
              <w:rPr>
                <w:noProof/>
                <w:webHidden/>
              </w:rPr>
              <w:tab/>
            </w:r>
            <w:r w:rsidR="00453DF1">
              <w:rPr>
                <w:noProof/>
                <w:webHidden/>
              </w:rPr>
              <w:fldChar w:fldCharType="begin"/>
            </w:r>
            <w:r w:rsidR="00453DF1">
              <w:rPr>
                <w:noProof/>
                <w:webHidden/>
              </w:rPr>
              <w:instrText xml:space="preserve"> PAGEREF _Toc99480705 \h </w:instrText>
            </w:r>
            <w:r w:rsidR="00453DF1">
              <w:rPr>
                <w:noProof/>
                <w:webHidden/>
              </w:rPr>
            </w:r>
            <w:r w:rsidR="00453DF1">
              <w:rPr>
                <w:noProof/>
                <w:webHidden/>
              </w:rPr>
              <w:fldChar w:fldCharType="separate"/>
            </w:r>
            <w:r w:rsidR="00453DF1">
              <w:rPr>
                <w:noProof/>
                <w:webHidden/>
              </w:rPr>
              <w:t>19</w:t>
            </w:r>
            <w:r w:rsidR="00453DF1">
              <w:rPr>
                <w:noProof/>
                <w:webHidden/>
              </w:rPr>
              <w:fldChar w:fldCharType="end"/>
            </w:r>
          </w:hyperlink>
        </w:p>
        <w:p w14:paraId="43FD19FF" w14:textId="6940CEED"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6" w:history="1">
            <w:r w:rsidR="00453DF1" w:rsidRPr="00BA72BD">
              <w:rPr>
                <w:rStyle w:val="Hyperlink"/>
                <w:noProof/>
              </w:rPr>
              <w:t>§ 17 Vollmacht</w:t>
            </w:r>
            <w:r w:rsidR="00453DF1">
              <w:rPr>
                <w:noProof/>
                <w:webHidden/>
              </w:rPr>
              <w:tab/>
            </w:r>
            <w:r w:rsidR="00453DF1">
              <w:rPr>
                <w:noProof/>
                <w:webHidden/>
              </w:rPr>
              <w:fldChar w:fldCharType="begin"/>
            </w:r>
            <w:r w:rsidR="00453DF1">
              <w:rPr>
                <w:noProof/>
                <w:webHidden/>
              </w:rPr>
              <w:instrText xml:space="preserve"> PAGEREF _Toc99480706 \h </w:instrText>
            </w:r>
            <w:r w:rsidR="00453DF1">
              <w:rPr>
                <w:noProof/>
                <w:webHidden/>
              </w:rPr>
            </w:r>
            <w:r w:rsidR="00453DF1">
              <w:rPr>
                <w:noProof/>
                <w:webHidden/>
              </w:rPr>
              <w:fldChar w:fldCharType="separate"/>
            </w:r>
            <w:r w:rsidR="00453DF1">
              <w:rPr>
                <w:noProof/>
                <w:webHidden/>
              </w:rPr>
              <w:t>20</w:t>
            </w:r>
            <w:r w:rsidR="00453DF1">
              <w:rPr>
                <w:noProof/>
                <w:webHidden/>
              </w:rPr>
              <w:fldChar w:fldCharType="end"/>
            </w:r>
          </w:hyperlink>
        </w:p>
        <w:p w14:paraId="5FDB1763" w14:textId="6E68D02D"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7" w:history="1">
            <w:r w:rsidR="00453DF1" w:rsidRPr="00BA72BD">
              <w:rPr>
                <w:rStyle w:val="Hyperlink"/>
                <w:noProof/>
              </w:rPr>
              <w:t>§ 18 Übergangs- und Schlussbestimmungen</w:t>
            </w:r>
            <w:r w:rsidR="00453DF1">
              <w:rPr>
                <w:noProof/>
                <w:webHidden/>
              </w:rPr>
              <w:tab/>
            </w:r>
            <w:r w:rsidR="00453DF1">
              <w:rPr>
                <w:noProof/>
                <w:webHidden/>
              </w:rPr>
              <w:fldChar w:fldCharType="begin"/>
            </w:r>
            <w:r w:rsidR="00453DF1">
              <w:rPr>
                <w:noProof/>
                <w:webHidden/>
              </w:rPr>
              <w:instrText xml:space="preserve"> PAGEREF _Toc99480707 \h </w:instrText>
            </w:r>
            <w:r w:rsidR="00453DF1">
              <w:rPr>
                <w:noProof/>
                <w:webHidden/>
              </w:rPr>
            </w:r>
            <w:r w:rsidR="00453DF1">
              <w:rPr>
                <w:noProof/>
                <w:webHidden/>
              </w:rPr>
              <w:fldChar w:fldCharType="separate"/>
            </w:r>
            <w:r w:rsidR="00453DF1">
              <w:rPr>
                <w:noProof/>
                <w:webHidden/>
              </w:rPr>
              <w:t>21</w:t>
            </w:r>
            <w:r w:rsidR="00453DF1">
              <w:rPr>
                <w:noProof/>
                <w:webHidden/>
              </w:rPr>
              <w:fldChar w:fldCharType="end"/>
            </w:r>
          </w:hyperlink>
        </w:p>
        <w:p w14:paraId="731D234D" w14:textId="12C56B61"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8" w:history="1">
            <w:r w:rsidR="00453DF1" w:rsidRPr="00BA72BD">
              <w:rPr>
                <w:rStyle w:val="Hyperlink"/>
                <w:noProof/>
              </w:rPr>
              <w:t>§ 19 Anlagen</w:t>
            </w:r>
            <w:r w:rsidR="00453DF1">
              <w:rPr>
                <w:noProof/>
                <w:webHidden/>
              </w:rPr>
              <w:tab/>
            </w:r>
            <w:r w:rsidR="00453DF1">
              <w:rPr>
                <w:noProof/>
                <w:webHidden/>
              </w:rPr>
              <w:fldChar w:fldCharType="begin"/>
            </w:r>
            <w:r w:rsidR="00453DF1">
              <w:rPr>
                <w:noProof/>
                <w:webHidden/>
              </w:rPr>
              <w:instrText xml:space="preserve"> PAGEREF _Toc99480708 \h </w:instrText>
            </w:r>
            <w:r w:rsidR="00453DF1">
              <w:rPr>
                <w:noProof/>
                <w:webHidden/>
              </w:rPr>
            </w:r>
            <w:r w:rsidR="00453DF1">
              <w:rPr>
                <w:noProof/>
                <w:webHidden/>
              </w:rPr>
              <w:fldChar w:fldCharType="separate"/>
            </w:r>
            <w:r w:rsidR="00453DF1">
              <w:rPr>
                <w:noProof/>
                <w:webHidden/>
              </w:rPr>
              <w:t>22</w:t>
            </w:r>
            <w:r w:rsidR="00453DF1">
              <w:rPr>
                <w:noProof/>
                <w:webHidden/>
              </w:rPr>
              <w:fldChar w:fldCharType="end"/>
            </w:r>
          </w:hyperlink>
        </w:p>
        <w:p w14:paraId="3FE04838" w14:textId="49658CDA"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09" w:history="1">
            <w:r w:rsidR="00453DF1" w:rsidRPr="00BA72BD">
              <w:rPr>
                <w:rStyle w:val="Hyperlink"/>
                <w:noProof/>
              </w:rPr>
              <w:t>Anlage 1: Preisblätter für den Netzzugang</w:t>
            </w:r>
            <w:r w:rsidR="00453DF1">
              <w:rPr>
                <w:noProof/>
                <w:webHidden/>
              </w:rPr>
              <w:tab/>
            </w:r>
            <w:r w:rsidR="00453DF1">
              <w:rPr>
                <w:noProof/>
                <w:webHidden/>
              </w:rPr>
              <w:fldChar w:fldCharType="begin"/>
            </w:r>
            <w:r w:rsidR="00453DF1">
              <w:rPr>
                <w:noProof/>
                <w:webHidden/>
              </w:rPr>
              <w:instrText xml:space="preserve"> PAGEREF _Toc99480709 \h </w:instrText>
            </w:r>
            <w:r w:rsidR="00453DF1">
              <w:rPr>
                <w:noProof/>
                <w:webHidden/>
              </w:rPr>
            </w:r>
            <w:r w:rsidR="00453DF1">
              <w:rPr>
                <w:noProof/>
                <w:webHidden/>
              </w:rPr>
              <w:fldChar w:fldCharType="separate"/>
            </w:r>
            <w:r w:rsidR="00453DF1">
              <w:rPr>
                <w:noProof/>
                <w:webHidden/>
              </w:rPr>
              <w:t>23</w:t>
            </w:r>
            <w:r w:rsidR="00453DF1">
              <w:rPr>
                <w:noProof/>
                <w:webHidden/>
              </w:rPr>
              <w:fldChar w:fldCharType="end"/>
            </w:r>
          </w:hyperlink>
        </w:p>
        <w:p w14:paraId="1A3F60F1" w14:textId="3CB4A7EB"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10" w:history="1">
            <w:r w:rsidR="00453DF1" w:rsidRPr="00BA72BD">
              <w:rPr>
                <w:rStyle w:val="Hyperlink"/>
                <w:noProof/>
              </w:rPr>
              <w:t>Anlage 2: Kontaktdatenblatt Transportkunde/Netzbetreiber</w:t>
            </w:r>
            <w:r w:rsidR="00453DF1">
              <w:rPr>
                <w:noProof/>
                <w:webHidden/>
              </w:rPr>
              <w:tab/>
            </w:r>
            <w:r w:rsidR="00453DF1">
              <w:rPr>
                <w:noProof/>
                <w:webHidden/>
              </w:rPr>
              <w:fldChar w:fldCharType="begin"/>
            </w:r>
            <w:r w:rsidR="00453DF1">
              <w:rPr>
                <w:noProof/>
                <w:webHidden/>
              </w:rPr>
              <w:instrText xml:space="preserve"> PAGEREF _Toc99480710 \h </w:instrText>
            </w:r>
            <w:r w:rsidR="00453DF1">
              <w:rPr>
                <w:noProof/>
                <w:webHidden/>
              </w:rPr>
            </w:r>
            <w:r w:rsidR="00453DF1">
              <w:rPr>
                <w:noProof/>
                <w:webHidden/>
              </w:rPr>
              <w:fldChar w:fldCharType="separate"/>
            </w:r>
            <w:r w:rsidR="00453DF1">
              <w:rPr>
                <w:noProof/>
                <w:webHidden/>
              </w:rPr>
              <w:t>23</w:t>
            </w:r>
            <w:r w:rsidR="00453DF1">
              <w:rPr>
                <w:noProof/>
                <w:webHidden/>
              </w:rPr>
              <w:fldChar w:fldCharType="end"/>
            </w:r>
          </w:hyperlink>
        </w:p>
        <w:p w14:paraId="0C76B3CD" w14:textId="59CF4E94"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11" w:history="1">
            <w:r w:rsidR="00453DF1" w:rsidRPr="00BA72BD">
              <w:rPr>
                <w:rStyle w:val="Hyperlink"/>
                <w:noProof/>
              </w:rPr>
              <w:t>Anlage 3: Vereinbarung über elektronischen Datenaustausch (EDI)</w:t>
            </w:r>
            <w:r w:rsidR="00453DF1">
              <w:rPr>
                <w:noProof/>
                <w:webHidden/>
              </w:rPr>
              <w:tab/>
            </w:r>
            <w:r w:rsidR="00453DF1">
              <w:rPr>
                <w:noProof/>
                <w:webHidden/>
              </w:rPr>
              <w:fldChar w:fldCharType="begin"/>
            </w:r>
            <w:r w:rsidR="00453DF1">
              <w:rPr>
                <w:noProof/>
                <w:webHidden/>
              </w:rPr>
              <w:instrText xml:space="preserve"> PAGEREF _Toc99480711 \h </w:instrText>
            </w:r>
            <w:r w:rsidR="00453DF1">
              <w:rPr>
                <w:noProof/>
                <w:webHidden/>
              </w:rPr>
            </w:r>
            <w:r w:rsidR="00453DF1">
              <w:rPr>
                <w:noProof/>
                <w:webHidden/>
              </w:rPr>
              <w:fldChar w:fldCharType="separate"/>
            </w:r>
            <w:r w:rsidR="00453DF1">
              <w:rPr>
                <w:noProof/>
                <w:webHidden/>
              </w:rPr>
              <w:t>26</w:t>
            </w:r>
            <w:r w:rsidR="00453DF1">
              <w:rPr>
                <w:noProof/>
                <w:webHidden/>
              </w:rPr>
              <w:fldChar w:fldCharType="end"/>
            </w:r>
          </w:hyperlink>
        </w:p>
        <w:p w14:paraId="40DC866E" w14:textId="5593FC68"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12" w:history="1">
            <w:r w:rsidR="00453DF1" w:rsidRPr="00BA72BD">
              <w:rPr>
                <w:rStyle w:val="Hyperlink"/>
                <w:noProof/>
              </w:rPr>
              <w:t>Anlage 4: Ergänzende Geschäftsbedingungen</w:t>
            </w:r>
            <w:r w:rsidR="00453DF1">
              <w:rPr>
                <w:noProof/>
                <w:webHidden/>
              </w:rPr>
              <w:tab/>
            </w:r>
            <w:r w:rsidR="00453DF1">
              <w:rPr>
                <w:noProof/>
                <w:webHidden/>
              </w:rPr>
              <w:fldChar w:fldCharType="begin"/>
            </w:r>
            <w:r w:rsidR="00453DF1">
              <w:rPr>
                <w:noProof/>
                <w:webHidden/>
              </w:rPr>
              <w:instrText xml:space="preserve"> PAGEREF _Toc99480712 \h </w:instrText>
            </w:r>
            <w:r w:rsidR="00453DF1">
              <w:rPr>
                <w:noProof/>
                <w:webHidden/>
              </w:rPr>
            </w:r>
            <w:r w:rsidR="00453DF1">
              <w:rPr>
                <w:noProof/>
                <w:webHidden/>
              </w:rPr>
              <w:fldChar w:fldCharType="separate"/>
            </w:r>
            <w:r w:rsidR="00453DF1">
              <w:rPr>
                <w:noProof/>
                <w:webHidden/>
              </w:rPr>
              <w:t>29</w:t>
            </w:r>
            <w:r w:rsidR="00453DF1">
              <w:rPr>
                <w:noProof/>
                <w:webHidden/>
              </w:rPr>
              <w:fldChar w:fldCharType="end"/>
            </w:r>
          </w:hyperlink>
        </w:p>
        <w:p w14:paraId="671E0453" w14:textId="1A44CC72"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13" w:history="1">
            <w:r w:rsidR="00453DF1" w:rsidRPr="00BA72BD">
              <w:rPr>
                <w:rStyle w:val="Hyperlink"/>
                <w:noProof/>
              </w:rPr>
              <w:t>Anlage 5: Standardlastprofilverfahren</w:t>
            </w:r>
            <w:r w:rsidR="00453DF1">
              <w:rPr>
                <w:noProof/>
                <w:webHidden/>
              </w:rPr>
              <w:tab/>
            </w:r>
            <w:r w:rsidR="00453DF1">
              <w:rPr>
                <w:noProof/>
                <w:webHidden/>
              </w:rPr>
              <w:fldChar w:fldCharType="begin"/>
            </w:r>
            <w:r w:rsidR="00453DF1">
              <w:rPr>
                <w:noProof/>
                <w:webHidden/>
              </w:rPr>
              <w:instrText xml:space="preserve"> PAGEREF _Toc99480713 \h </w:instrText>
            </w:r>
            <w:r w:rsidR="00453DF1">
              <w:rPr>
                <w:noProof/>
                <w:webHidden/>
              </w:rPr>
            </w:r>
            <w:r w:rsidR="00453DF1">
              <w:rPr>
                <w:noProof/>
                <w:webHidden/>
              </w:rPr>
              <w:fldChar w:fldCharType="separate"/>
            </w:r>
            <w:r w:rsidR="00453DF1">
              <w:rPr>
                <w:noProof/>
                <w:webHidden/>
              </w:rPr>
              <w:t>29</w:t>
            </w:r>
            <w:r w:rsidR="00453DF1">
              <w:rPr>
                <w:noProof/>
                <w:webHidden/>
              </w:rPr>
              <w:fldChar w:fldCharType="end"/>
            </w:r>
          </w:hyperlink>
        </w:p>
        <w:p w14:paraId="0598C03E" w14:textId="7805426D"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14" w:history="1">
            <w:r w:rsidR="00453DF1" w:rsidRPr="00BA72BD">
              <w:rPr>
                <w:rStyle w:val="Hyperlink"/>
                <w:noProof/>
              </w:rPr>
              <w:t>Anlage 6: § 18 NDAV</w:t>
            </w:r>
            <w:r w:rsidR="00453DF1">
              <w:rPr>
                <w:noProof/>
                <w:webHidden/>
              </w:rPr>
              <w:tab/>
            </w:r>
            <w:r w:rsidR="00453DF1">
              <w:rPr>
                <w:noProof/>
                <w:webHidden/>
              </w:rPr>
              <w:fldChar w:fldCharType="begin"/>
            </w:r>
            <w:r w:rsidR="00453DF1">
              <w:rPr>
                <w:noProof/>
                <w:webHidden/>
              </w:rPr>
              <w:instrText xml:space="preserve"> PAGEREF _Toc99480714 \h </w:instrText>
            </w:r>
            <w:r w:rsidR="00453DF1">
              <w:rPr>
                <w:noProof/>
                <w:webHidden/>
              </w:rPr>
            </w:r>
            <w:r w:rsidR="00453DF1">
              <w:rPr>
                <w:noProof/>
                <w:webHidden/>
              </w:rPr>
              <w:fldChar w:fldCharType="separate"/>
            </w:r>
            <w:r w:rsidR="00453DF1">
              <w:rPr>
                <w:noProof/>
                <w:webHidden/>
              </w:rPr>
              <w:t>30</w:t>
            </w:r>
            <w:r w:rsidR="00453DF1">
              <w:rPr>
                <w:noProof/>
                <w:webHidden/>
              </w:rPr>
              <w:fldChar w:fldCharType="end"/>
            </w:r>
          </w:hyperlink>
        </w:p>
        <w:p w14:paraId="5013C711" w14:textId="5947CDFC" w:rsidR="00453DF1" w:rsidRDefault="00A04E69">
          <w:pPr>
            <w:pStyle w:val="Verzeichnis3"/>
            <w:tabs>
              <w:tab w:val="right" w:leader="dot" w:pos="9062"/>
            </w:tabs>
            <w:rPr>
              <w:rFonts w:asciiTheme="minorHAnsi" w:eastAsiaTheme="minorEastAsia" w:hAnsiTheme="minorHAnsi" w:cstheme="minorBidi"/>
              <w:noProof/>
              <w:sz w:val="22"/>
              <w:szCs w:val="22"/>
            </w:rPr>
          </w:pPr>
          <w:hyperlink w:anchor="_Toc99480715" w:history="1">
            <w:r w:rsidR="00453DF1" w:rsidRPr="00BA72BD">
              <w:rPr>
                <w:rStyle w:val="Hyperlink"/>
                <w:noProof/>
              </w:rPr>
              <w:t>Anlage 7: Begriffsbestimmungen</w:t>
            </w:r>
            <w:r w:rsidR="00453DF1">
              <w:rPr>
                <w:noProof/>
                <w:webHidden/>
              </w:rPr>
              <w:tab/>
            </w:r>
            <w:r w:rsidR="00453DF1">
              <w:rPr>
                <w:noProof/>
                <w:webHidden/>
              </w:rPr>
              <w:fldChar w:fldCharType="begin"/>
            </w:r>
            <w:r w:rsidR="00453DF1">
              <w:rPr>
                <w:noProof/>
                <w:webHidden/>
              </w:rPr>
              <w:instrText xml:space="preserve"> PAGEREF _Toc99480715 \h </w:instrText>
            </w:r>
            <w:r w:rsidR="00453DF1">
              <w:rPr>
                <w:noProof/>
                <w:webHidden/>
              </w:rPr>
            </w:r>
            <w:r w:rsidR="00453DF1">
              <w:rPr>
                <w:noProof/>
                <w:webHidden/>
              </w:rPr>
              <w:fldChar w:fldCharType="separate"/>
            </w:r>
            <w:r w:rsidR="00453DF1">
              <w:rPr>
                <w:noProof/>
                <w:webHidden/>
              </w:rPr>
              <w:t>30</w:t>
            </w:r>
            <w:r w:rsidR="00453DF1">
              <w:rPr>
                <w:noProof/>
                <w:webHidden/>
              </w:rPr>
              <w:fldChar w:fldCharType="end"/>
            </w:r>
          </w:hyperlink>
        </w:p>
        <w:p w14:paraId="6E23C192" w14:textId="21C8A807" w:rsidR="006B29D0" w:rsidRDefault="00C51800" w:rsidP="006B29D0">
          <w:pPr>
            <w:pStyle w:val="Verzeichnis3"/>
            <w:tabs>
              <w:tab w:val="right" w:leader="dot" w:pos="9062"/>
            </w:tabs>
          </w:pPr>
          <w:r w:rsidRPr="007251AB">
            <w:rPr>
              <w:rFonts w:eastAsiaTheme="majorEastAsia" w:cs="Arial"/>
              <w:b/>
              <w:bCs/>
              <w:sz w:val="22"/>
              <w:szCs w:val="28"/>
            </w:rPr>
            <w:fldChar w:fldCharType="end"/>
          </w:r>
        </w:p>
      </w:sdtContent>
    </w:sdt>
    <w:p w14:paraId="6CC5EFED" w14:textId="77777777" w:rsidR="00771B22" w:rsidRPr="00EE308E" w:rsidRDefault="006B29D0" w:rsidP="00EE308E">
      <w:pPr>
        <w:rPr>
          <w:rFonts w:cs="Arial"/>
          <w:sz w:val="22"/>
          <w:szCs w:val="22"/>
        </w:rPr>
      </w:pPr>
      <w:r>
        <w:rPr>
          <w:rFonts w:cs="Arial"/>
          <w:sz w:val="22"/>
          <w:szCs w:val="22"/>
        </w:rPr>
        <w:br w:type="page"/>
      </w:r>
    </w:p>
    <w:p w14:paraId="00925AE7" w14:textId="77777777" w:rsidR="00261427" w:rsidRPr="00AD6AE2" w:rsidRDefault="007C583A" w:rsidP="00AD6AE2">
      <w:pPr>
        <w:pStyle w:val="berschrift3"/>
        <w:rPr>
          <w:sz w:val="22"/>
          <w:szCs w:val="22"/>
        </w:rPr>
      </w:pPr>
      <w:bookmarkStart w:id="3" w:name="_Toc446244930"/>
      <w:bookmarkStart w:id="4" w:name="_Toc99480690"/>
      <w:r w:rsidRPr="00AD6AE2">
        <w:rPr>
          <w:sz w:val="22"/>
          <w:szCs w:val="22"/>
        </w:rPr>
        <w:lastRenderedPageBreak/>
        <w:t xml:space="preserve">§ 1 </w:t>
      </w:r>
      <w:r w:rsidR="00261427" w:rsidRPr="00AD6AE2">
        <w:rPr>
          <w:sz w:val="22"/>
          <w:szCs w:val="22"/>
        </w:rPr>
        <w:t>Vertragsgegenstand</w:t>
      </w:r>
      <w:bookmarkEnd w:id="3"/>
      <w:bookmarkEnd w:id="4"/>
    </w:p>
    <w:p w14:paraId="09B5F084" w14:textId="65C68E17"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r w:rsidR="007B6739">
        <w:rPr>
          <w:rFonts w:cs="Arial"/>
          <w:sz w:val="22"/>
          <w:szCs w:val="22"/>
        </w:rPr>
        <w:t>Für den Vertragsabschluss ist die Textform (z.B. E-Mail) ausreichend.</w:t>
      </w:r>
    </w:p>
    <w:p w14:paraId="23D8ABF5" w14:textId="41A6C6FD" w:rsidR="00261427" w:rsidRPr="005D62CA" w:rsidRDefault="00E02923" w:rsidP="00E02923">
      <w:pPr>
        <w:numPr>
          <w:ilvl w:val="0"/>
          <w:numId w:val="1"/>
        </w:numPr>
        <w:spacing w:before="120" w:line="240" w:lineRule="atLeast"/>
        <w:jc w:val="both"/>
        <w:rPr>
          <w:rFonts w:cs="Arial"/>
          <w:sz w:val="22"/>
          <w:szCs w:val="22"/>
        </w:rPr>
      </w:pPr>
      <w:r w:rsidRPr="00FC49F6">
        <w:rPr>
          <w:rFonts w:cs="Arial"/>
          <w:sz w:val="22"/>
          <w:szCs w:val="22"/>
        </w:rPr>
        <w:t xml:space="preserve">Die </w:t>
      </w:r>
      <w:r w:rsidR="00814246">
        <w:rPr>
          <w:rFonts w:cs="Arial"/>
          <w:sz w:val="22"/>
          <w:szCs w:val="22"/>
        </w:rPr>
        <w:t>E</w:t>
      </w:r>
      <w:r w:rsidRPr="00FC49F6">
        <w:rPr>
          <w:rFonts w:cs="Arial"/>
          <w:sz w:val="22"/>
          <w:szCs w:val="22"/>
        </w:rPr>
        <w:t xml:space="preserve">rgänzenden Geschäftsbedingungen des Netzbetreibers in der zum Zeitpunkt des Abschlusses dieses Lieferantenrahmenvertrages gültigen Fassung sind wesentlicher Bestandteil dieses Vertrages (Anlage </w:t>
      </w:r>
      <w:r w:rsidR="0043187C">
        <w:rPr>
          <w:rFonts w:cs="Arial"/>
          <w:sz w:val="22"/>
          <w:szCs w:val="22"/>
        </w:rPr>
        <w:t>4</w:t>
      </w:r>
      <w:r w:rsidRPr="00FC49F6">
        <w:rPr>
          <w:rFonts w:cs="Arial"/>
          <w:sz w:val="22"/>
          <w:szCs w:val="22"/>
        </w:rPr>
        <w:t xml:space="preserve">). Im Falle von Abweichungen und/oder Widersprüchen zwischen den Bestimmungen des Lieferantenrahmenvertrages und den </w:t>
      </w:r>
      <w:r w:rsidR="00814246">
        <w:rPr>
          <w:rFonts w:cs="Arial"/>
          <w:sz w:val="22"/>
          <w:szCs w:val="22"/>
        </w:rPr>
        <w:t>E</w:t>
      </w:r>
      <w:r w:rsidRPr="00FC49F6">
        <w:rPr>
          <w:rFonts w:cs="Arial"/>
          <w:sz w:val="22"/>
          <w:szCs w:val="22"/>
        </w:rPr>
        <w:t xml:space="preserve">rgänzenden Geschäftsbedingungen des Netzbetreibers haben die Bestimmungen dieses Lieferantenrahmenvertrages Vorrang vor den </w:t>
      </w:r>
      <w:r w:rsidR="006E21BC">
        <w:rPr>
          <w:rFonts w:cs="Arial"/>
          <w:sz w:val="22"/>
          <w:szCs w:val="22"/>
        </w:rPr>
        <w:t>E</w:t>
      </w:r>
      <w:r w:rsidRPr="00FC49F6">
        <w:rPr>
          <w:rFonts w:cs="Arial"/>
          <w:sz w:val="22"/>
          <w:szCs w:val="22"/>
        </w:rPr>
        <w:t>rgänzenden Geschäftsbedingungen</w:t>
      </w:r>
      <w:r w:rsidR="00E629B3">
        <w:rPr>
          <w:rFonts w:cs="Arial"/>
          <w:sz w:val="22"/>
          <w:szCs w:val="22"/>
        </w:rPr>
        <w:t>.</w:t>
      </w:r>
    </w:p>
    <w:p w14:paraId="4A49973B" w14:textId="77777777" w:rsidR="002A5C7D" w:rsidRPr="007251AB" w:rsidRDefault="00261427" w:rsidP="003007C9">
      <w:pPr>
        <w:numPr>
          <w:ilvl w:val="0"/>
          <w:numId w:val="1"/>
        </w:numPr>
        <w:tabs>
          <w:tab w:val="clear" w:pos="720"/>
          <w:tab w:val="left" w:pos="709"/>
        </w:tabs>
        <w:spacing w:before="120" w:line="240" w:lineRule="atLeast"/>
        <w:ind w:left="709"/>
        <w:jc w:val="both"/>
        <w:rPr>
          <w:rFonts w:cs="Arial"/>
          <w:sz w:val="22"/>
          <w:szCs w:val="22"/>
        </w:rPr>
      </w:pPr>
      <w:r w:rsidRPr="007251AB">
        <w:rPr>
          <w:rFonts w:cs="Arial"/>
          <w:sz w:val="22"/>
          <w:szCs w:val="22"/>
        </w:rPr>
        <w:t xml:space="preserve">Der Netzbetreiber betreibt ein </w:t>
      </w:r>
      <w:r w:rsidR="001456F0" w:rsidRPr="007251AB">
        <w:rPr>
          <w:rFonts w:cs="Arial"/>
          <w:sz w:val="22"/>
          <w:szCs w:val="22"/>
        </w:rPr>
        <w:t>Gasverteilernetz</w:t>
      </w:r>
      <w:r w:rsidRPr="007251AB">
        <w:rPr>
          <w:rFonts w:cs="Arial"/>
          <w:sz w:val="22"/>
          <w:szCs w:val="22"/>
        </w:rPr>
        <w:t xml:space="preserve">. Der </w:t>
      </w:r>
      <w:r w:rsidR="00C76E4D" w:rsidRPr="007251AB">
        <w:rPr>
          <w:rFonts w:cs="Arial"/>
          <w:sz w:val="22"/>
          <w:szCs w:val="22"/>
        </w:rPr>
        <w:t>Transportkunde</w:t>
      </w:r>
      <w:r w:rsidRPr="007251AB">
        <w:rPr>
          <w:rFonts w:cs="Arial"/>
          <w:sz w:val="22"/>
          <w:szCs w:val="22"/>
        </w:rPr>
        <w:t xml:space="preserve"> begehrt als Lieferant Netzzugang zum Zweck der Entnahme von </w:t>
      </w:r>
      <w:r w:rsidR="001456F0" w:rsidRPr="007251AB">
        <w:rPr>
          <w:rFonts w:cs="Arial"/>
          <w:sz w:val="22"/>
          <w:szCs w:val="22"/>
        </w:rPr>
        <w:t xml:space="preserve">Gas </w:t>
      </w:r>
      <w:r w:rsidRPr="007251AB">
        <w:rPr>
          <w:rFonts w:cs="Arial"/>
          <w:sz w:val="22"/>
          <w:szCs w:val="22"/>
        </w:rPr>
        <w:t>an eine</w:t>
      </w:r>
      <w:r w:rsidR="00060753" w:rsidRPr="007251AB">
        <w:rPr>
          <w:rFonts w:cs="Arial"/>
          <w:sz w:val="22"/>
          <w:szCs w:val="22"/>
        </w:rPr>
        <w:t>m</w:t>
      </w:r>
      <w:r w:rsidRPr="007251AB">
        <w:rPr>
          <w:rFonts w:cs="Arial"/>
          <w:sz w:val="22"/>
          <w:szCs w:val="22"/>
        </w:rPr>
        <w:t xml:space="preserve"> </w:t>
      </w:r>
      <w:r w:rsidR="009662B7" w:rsidRPr="007251AB">
        <w:rPr>
          <w:rFonts w:cs="Arial"/>
          <w:sz w:val="22"/>
          <w:szCs w:val="22"/>
        </w:rPr>
        <w:t xml:space="preserve">oder mehreren </w:t>
      </w:r>
      <w:r w:rsidR="001456F0" w:rsidRPr="007251AB">
        <w:rPr>
          <w:rFonts w:cs="Arial"/>
          <w:sz w:val="22"/>
          <w:szCs w:val="22"/>
        </w:rPr>
        <w:t>Ausspeisepunkte</w:t>
      </w:r>
      <w:r w:rsidR="00060753" w:rsidRPr="007251AB">
        <w:rPr>
          <w:rFonts w:cs="Arial"/>
          <w:sz w:val="22"/>
          <w:szCs w:val="22"/>
        </w:rPr>
        <w:t>n</w:t>
      </w:r>
      <w:r w:rsidRPr="007251AB">
        <w:rPr>
          <w:rFonts w:cs="Arial"/>
          <w:sz w:val="22"/>
          <w:szCs w:val="22"/>
        </w:rPr>
        <w:t xml:space="preserve">, die an das </w:t>
      </w:r>
      <w:r w:rsidR="001456F0" w:rsidRPr="007251AB">
        <w:rPr>
          <w:rFonts w:cs="Arial"/>
          <w:sz w:val="22"/>
          <w:szCs w:val="22"/>
        </w:rPr>
        <w:t xml:space="preserve">Gasverteilernetz </w:t>
      </w:r>
      <w:r w:rsidRPr="007251AB">
        <w:rPr>
          <w:rFonts w:cs="Arial"/>
          <w:sz w:val="22"/>
          <w:szCs w:val="22"/>
        </w:rPr>
        <w:t xml:space="preserve">des Netzbetreibers angeschlossen </w:t>
      </w:r>
      <w:r w:rsidR="00060753" w:rsidRPr="007251AB">
        <w:rPr>
          <w:rFonts w:cs="Arial"/>
          <w:sz w:val="22"/>
          <w:szCs w:val="22"/>
        </w:rPr>
        <w:t>sind</w:t>
      </w:r>
      <w:r w:rsidRPr="007251AB">
        <w:rPr>
          <w:rFonts w:cs="Arial"/>
          <w:sz w:val="22"/>
          <w:szCs w:val="22"/>
        </w:rPr>
        <w:t>.</w:t>
      </w:r>
    </w:p>
    <w:p w14:paraId="043B7DA1" w14:textId="251C0108" w:rsidR="00877F78" w:rsidRDefault="00877F78" w:rsidP="004D18B7">
      <w:pPr>
        <w:numPr>
          <w:ilvl w:val="0"/>
          <w:numId w:val="1"/>
        </w:numPr>
        <w:spacing w:before="120" w:line="240" w:lineRule="atLeast"/>
        <w:jc w:val="both"/>
        <w:rPr>
          <w:rFonts w:cs="Arial"/>
          <w:sz w:val="22"/>
          <w:szCs w:val="22"/>
        </w:rPr>
      </w:pP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w:t>
      </w:r>
    </w:p>
    <w:p w14:paraId="794F3458" w14:textId="77777777" w:rsidR="0016530B" w:rsidRPr="00AB5A19" w:rsidRDefault="0016530B" w:rsidP="0016530B">
      <w:pPr>
        <w:spacing w:before="120" w:line="240" w:lineRule="atLeast"/>
        <w:ind w:left="720"/>
        <w:jc w:val="both"/>
        <w:rPr>
          <w:rFonts w:cs="Arial"/>
          <w:sz w:val="22"/>
          <w:szCs w:val="22"/>
        </w:rPr>
      </w:pPr>
      <w:r w:rsidRPr="00AB5A19">
        <w:rPr>
          <w:rFonts w:cs="Arial"/>
          <w:sz w:val="22"/>
          <w:szCs w:val="22"/>
        </w:rPr>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 xml:space="preserve">n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p>
    <w:p w14:paraId="6E981046" w14:textId="77777777" w:rsidR="00CB3063" w:rsidRPr="00FC49F6" w:rsidRDefault="00CB3063" w:rsidP="00B85D82">
      <w:pPr>
        <w:numPr>
          <w:ilvl w:val="0"/>
          <w:numId w:val="1"/>
        </w:numPr>
        <w:spacing w:before="120" w:line="240" w:lineRule="atLeast"/>
        <w:jc w:val="both"/>
        <w:rPr>
          <w:rFonts w:cs="Arial"/>
          <w:sz w:val="22"/>
          <w:szCs w:val="22"/>
        </w:rPr>
      </w:pPr>
      <w:r w:rsidRPr="00FC49F6">
        <w:rPr>
          <w:rFonts w:cs="Arial"/>
          <w:sz w:val="22"/>
          <w:szCs w:val="22"/>
        </w:rPr>
        <w:t>Die Gasbelieferung der Letztverbraucher ist in gesonderten Verträgen zwischen dem Transportkunden und den Letztverbrauchern geregelt und ist nicht Gegenstand dieses Vertrages.</w:t>
      </w:r>
    </w:p>
    <w:p w14:paraId="5AB53474" w14:textId="77777777" w:rsidR="00261427" w:rsidRPr="00FC49F6" w:rsidRDefault="00116253" w:rsidP="00DE2327">
      <w:pPr>
        <w:numPr>
          <w:ilvl w:val="0"/>
          <w:numId w:val="1"/>
        </w:numPr>
        <w:spacing w:before="120" w:line="240" w:lineRule="atLeast"/>
        <w:ind w:left="714" w:hanging="357"/>
        <w:jc w:val="both"/>
        <w:rPr>
          <w:rFonts w:cs="Arial"/>
          <w:sz w:val="22"/>
          <w:szCs w:val="22"/>
        </w:rPr>
      </w:pPr>
      <w:r w:rsidRPr="00FC49F6">
        <w:rPr>
          <w:rFonts w:cs="Arial"/>
          <w:sz w:val="22"/>
          <w:szCs w:val="22"/>
        </w:rPr>
        <w:t>Die Einspeisung von Gas ist nicht Gegenstand dieses Vertrages und wird in gesonderten Verträgen geregelt.</w:t>
      </w:r>
    </w:p>
    <w:p w14:paraId="74AA3D0D" w14:textId="3E606327" w:rsidR="00473052" w:rsidRPr="00D138C0" w:rsidRDefault="00473052" w:rsidP="00DE2327">
      <w:pPr>
        <w:numPr>
          <w:ilvl w:val="0"/>
          <w:numId w:val="1"/>
        </w:numPr>
        <w:spacing w:before="120" w:line="240" w:lineRule="atLeast"/>
        <w:ind w:left="714" w:hanging="357"/>
        <w:jc w:val="both"/>
        <w:rPr>
          <w:rFonts w:cs="Arial"/>
          <w:sz w:val="22"/>
          <w:szCs w:val="22"/>
        </w:rPr>
      </w:pP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w:t>
      </w:r>
      <w:r w:rsidR="006E21BC">
        <w:rPr>
          <w:rFonts w:cs="Arial"/>
          <w:sz w:val="22"/>
          <w:szCs w:val="22"/>
        </w:rPr>
        <w:t>E</w:t>
      </w:r>
      <w:r w:rsidRPr="00D138C0">
        <w:rPr>
          <w:rFonts w:cs="Arial"/>
          <w:sz w:val="22"/>
          <w:szCs w:val="22"/>
        </w:rPr>
        <w:t>rgänzende Geschäftsbedingungen treffen, soweit diese aufgrund der Besonderheiten des geschlossenen Verteilernetzes erforderlich sind.</w:t>
      </w:r>
    </w:p>
    <w:p w14:paraId="41F4FFAD" w14:textId="77777777" w:rsidR="00261427" w:rsidRPr="00010243" w:rsidRDefault="00261427" w:rsidP="005B0047">
      <w:pPr>
        <w:pStyle w:val="berschrift3"/>
        <w:rPr>
          <w:sz w:val="22"/>
          <w:szCs w:val="22"/>
        </w:rPr>
      </w:pPr>
      <w:bookmarkStart w:id="5" w:name="_Toc446244931"/>
      <w:bookmarkStart w:id="6" w:name="_Toc99480691"/>
      <w:r w:rsidRPr="007B1770">
        <w:rPr>
          <w:sz w:val="22"/>
          <w:szCs w:val="22"/>
        </w:rPr>
        <w:t>§ 2 Netzzugang</w:t>
      </w:r>
      <w:bookmarkEnd w:id="5"/>
      <w:bookmarkEnd w:id="6"/>
      <w:r w:rsidR="000377AD" w:rsidRPr="007B1770">
        <w:rPr>
          <w:sz w:val="22"/>
          <w:szCs w:val="22"/>
        </w:rPr>
        <w:t xml:space="preserve"> </w:t>
      </w:r>
    </w:p>
    <w:p w14:paraId="6F0175AC" w14:textId="77777777"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r w:rsidR="00C76E4D">
        <w:rPr>
          <w:rFonts w:cs="Arial"/>
          <w:sz w:val="22"/>
          <w:szCs w:val="22"/>
        </w:rPr>
        <w:t>Transportkunden</w:t>
      </w:r>
      <w:r w:rsidRPr="003A2313">
        <w:rPr>
          <w:rFonts w:cs="Arial"/>
          <w:sz w:val="22"/>
          <w:szCs w:val="22"/>
        </w:rPr>
        <w:t xml:space="preserve"> sein Netz diskriminierungsfrei zur Durchleitung </w:t>
      </w:r>
      <w:r w:rsidR="00116253" w:rsidRPr="000C0B9D">
        <w:rPr>
          <w:rFonts w:cs="Arial"/>
          <w:sz w:val="22"/>
          <w:szCs w:val="22"/>
        </w:rPr>
        <w:t>von Gas</w:t>
      </w:r>
      <w:r w:rsidRPr="000C0B9D">
        <w:rPr>
          <w:rFonts w:cs="Arial"/>
          <w:sz w:val="22"/>
          <w:szCs w:val="22"/>
        </w:rPr>
        <w:t xml:space="preserve"> zu </w:t>
      </w: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r w:rsidR="00116253" w:rsidRPr="00D70197">
        <w:rPr>
          <w:rFonts w:cs="Arial"/>
          <w:sz w:val="22"/>
          <w:szCs w:val="22"/>
        </w:rPr>
        <w:t>Gasverteilernetz</w:t>
      </w:r>
      <w:r w:rsidRPr="00EB2953">
        <w:rPr>
          <w:rFonts w:cs="Arial"/>
          <w:sz w:val="22"/>
          <w:szCs w:val="22"/>
        </w:rPr>
        <w:t xml:space="preserve"> zu gewährleisten.</w:t>
      </w:r>
    </w:p>
    <w:p w14:paraId="260C41EB" w14:textId="77777777"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r w:rsidR="00C76E4D">
        <w:rPr>
          <w:rFonts w:cs="Arial"/>
          <w:sz w:val="22"/>
          <w:szCs w:val="22"/>
        </w:rPr>
        <w:t>Transportkunde</w:t>
      </w:r>
      <w:r w:rsidRPr="00EB2953">
        <w:rPr>
          <w:rFonts w:cs="Arial"/>
          <w:sz w:val="22"/>
          <w:szCs w:val="22"/>
        </w:rPr>
        <w:t xml:space="preserve"> vergütet den Netzbetreiber für die Netznutzung zum Zweck der </w:t>
      </w:r>
      <w:r w:rsidR="00981E17">
        <w:rPr>
          <w:rFonts w:cs="Arial"/>
          <w:sz w:val="22"/>
          <w:szCs w:val="22"/>
        </w:rPr>
        <w:t>Ausspeisung</w:t>
      </w:r>
      <w:r w:rsidR="00981E17" w:rsidRPr="00EB2953">
        <w:rPr>
          <w:rFonts w:cs="Arial"/>
          <w:sz w:val="22"/>
          <w:szCs w:val="22"/>
        </w:rPr>
        <w:t xml:space="preserve"> </w:t>
      </w:r>
      <w:r w:rsidRPr="00EB2953">
        <w:rPr>
          <w:rFonts w:cs="Arial"/>
          <w:sz w:val="22"/>
          <w:szCs w:val="22"/>
        </w:rPr>
        <w:t xml:space="preserve">von </w:t>
      </w:r>
      <w:r w:rsidR="00530548" w:rsidRPr="009E1DEF">
        <w:rPr>
          <w:rFonts w:cs="Arial"/>
          <w:sz w:val="22"/>
          <w:szCs w:val="22"/>
        </w:rPr>
        <w:t xml:space="preserve">Gas </w:t>
      </w:r>
      <w:r w:rsidRPr="009E1DEF">
        <w:rPr>
          <w:rFonts w:cs="Arial"/>
          <w:sz w:val="22"/>
          <w:szCs w:val="22"/>
        </w:rPr>
        <w:t xml:space="preserve">sowie für weitere Leistungen aus diesem Vertrag gemäß der Preisregelung des § </w:t>
      </w:r>
      <w:r w:rsidR="00AF2C5B">
        <w:rPr>
          <w:rFonts w:cs="Arial"/>
          <w:sz w:val="22"/>
          <w:szCs w:val="22"/>
        </w:rPr>
        <w:t>8</w:t>
      </w:r>
      <w:r w:rsidRPr="009E1DEF">
        <w:rPr>
          <w:rFonts w:cs="Arial"/>
          <w:sz w:val="22"/>
          <w:szCs w:val="22"/>
        </w:rPr>
        <w:t xml:space="preserve">. </w:t>
      </w:r>
    </w:p>
    <w:p w14:paraId="3F49A6B8" w14:textId="77777777" w:rsidR="009325E1" w:rsidRDefault="00261427" w:rsidP="00DB51D8">
      <w:pPr>
        <w:numPr>
          <w:ilvl w:val="0"/>
          <w:numId w:val="12"/>
        </w:numPr>
        <w:spacing w:before="120" w:line="240" w:lineRule="atLeast"/>
        <w:jc w:val="both"/>
        <w:rPr>
          <w:sz w:val="22"/>
          <w:szCs w:val="22"/>
        </w:rPr>
      </w:pPr>
      <w:r w:rsidRPr="00C45BAB">
        <w:rPr>
          <w:rFonts w:cs="Arial"/>
          <w:sz w:val="22"/>
          <w:szCs w:val="22"/>
        </w:rPr>
        <w:t xml:space="preserve">Bei Vorliegen eines </w:t>
      </w:r>
      <w:r w:rsidR="00337AD2">
        <w:rPr>
          <w:rFonts w:cs="Arial"/>
          <w:sz w:val="22"/>
          <w:szCs w:val="22"/>
        </w:rPr>
        <w:t>Belieferungsverhältnisses inklusive Netznutzung (</w:t>
      </w:r>
      <w:r w:rsidRPr="00C45BAB">
        <w:rPr>
          <w:rFonts w:cs="Arial"/>
          <w:sz w:val="22"/>
          <w:szCs w:val="22"/>
        </w:rPr>
        <w:t>„</w:t>
      </w:r>
      <w:r w:rsidR="00F67E5C" w:rsidRPr="00C45BAB">
        <w:rPr>
          <w:rFonts w:cs="Arial"/>
          <w:sz w:val="22"/>
          <w:szCs w:val="22"/>
        </w:rPr>
        <w:t>a</w:t>
      </w:r>
      <w:r w:rsidRPr="00C45BAB">
        <w:rPr>
          <w:rFonts w:cs="Arial"/>
          <w:sz w:val="22"/>
          <w:szCs w:val="22"/>
        </w:rPr>
        <w:t>ll-inclusive-Vertrag“</w:t>
      </w:r>
      <w:r w:rsidR="00337AD2">
        <w:rPr>
          <w:rFonts w:cs="Arial"/>
          <w:sz w:val="22"/>
          <w:szCs w:val="22"/>
        </w:rPr>
        <w:t xml:space="preserve">) </w:t>
      </w:r>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die Leistung Gaslieferung, bedarf es einer gesonderten Vereinbarung über die Leistung Netznutzung zwischen dem Letztverbraucher und dem Netzbetreiber für den betreffenden Ausspeisepunkt. In diesem Fall schuldet der Letztverbraucher dem Netzbetreiber die Netzentgelte. Der </w:t>
      </w:r>
      <w:r w:rsidR="009E216F" w:rsidRPr="009E216F">
        <w:rPr>
          <w:sz w:val="22"/>
          <w:szCs w:val="22"/>
        </w:rPr>
        <w:lastRenderedPageBreak/>
        <w:t xml:space="preserve">Letztverbraucher ist </w:t>
      </w:r>
      <w:r w:rsidR="00474352">
        <w:rPr>
          <w:sz w:val="22"/>
          <w:szCs w:val="22"/>
        </w:rPr>
        <w:t>gemäß de</w:t>
      </w:r>
      <w:r w:rsidR="005C7AC2">
        <w:rPr>
          <w:sz w:val="22"/>
          <w:szCs w:val="22"/>
        </w:rPr>
        <w:t>r</w:t>
      </w:r>
      <w:r w:rsidR="00260225">
        <w:rPr>
          <w:sz w:val="22"/>
          <w:szCs w:val="22"/>
        </w:rPr>
        <w:t xml:space="preserve"> in</w:t>
      </w:r>
      <w:r w:rsidR="00474352">
        <w:rPr>
          <w:sz w:val="22"/>
          <w:szCs w:val="22"/>
        </w:rPr>
        <w:t xml:space="preserve"> § 5 dieses Vertrages aufgeführten re</w:t>
      </w:r>
      <w:r w:rsidR="000363FF">
        <w:rPr>
          <w:sz w:val="22"/>
          <w:szCs w:val="22"/>
        </w:rPr>
        <w:t>gulierungsbehördlichen Vorgaben</w:t>
      </w:r>
      <w:r w:rsidR="009E216F" w:rsidRPr="009E216F">
        <w:rPr>
          <w:sz w:val="22"/>
          <w:szCs w:val="22"/>
        </w:rPr>
        <w:t xml:space="preserve"> zu kennzeichnen. </w:t>
      </w:r>
      <w:r w:rsidR="003278A8" w:rsidRPr="006B0C0C">
        <w:rPr>
          <w:iCs/>
        </w:rPr>
        <w:t xml:space="preserve">Die Abwicklung und die Abrechnung der Mehr-/Mindermengen nach § </w:t>
      </w:r>
      <w:r w:rsidR="001961A4">
        <w:rPr>
          <w:iCs/>
        </w:rPr>
        <w:t>10</w:t>
      </w:r>
      <w:r w:rsidR="003278A8" w:rsidRPr="006B0C0C">
        <w:rPr>
          <w:iCs/>
        </w:rPr>
        <w:t xml:space="preserve"> erfolgt zwischen dem Netzbetreiber und dem Lieferanten.</w:t>
      </w:r>
    </w:p>
    <w:p w14:paraId="078DAC3A" w14:textId="77777777" w:rsidR="001254E7" w:rsidRPr="00EE308E" w:rsidRDefault="00F77A78" w:rsidP="00EE308E">
      <w:pPr>
        <w:pStyle w:val="Listenabsatz"/>
        <w:numPr>
          <w:ilvl w:val="0"/>
          <w:numId w:val="12"/>
        </w:numPr>
        <w:spacing w:before="120" w:after="120" w:line="240" w:lineRule="atLeast"/>
        <w:jc w:val="both"/>
        <w:rPr>
          <w:rFonts w:cs="Arial"/>
          <w:sz w:val="22"/>
          <w:szCs w:val="22"/>
        </w:rPr>
      </w:pPr>
      <w:r w:rsidRPr="00FC49F6">
        <w:rPr>
          <w:rFonts w:cs="Arial"/>
          <w:sz w:val="22"/>
          <w:szCs w:val="22"/>
        </w:rPr>
        <w:t xml:space="preserve">Im Wechselprozess nach GeLi Gas teilt der Transportkunde bei der Anmeldung die Art des Belieferungsverhältnisses (Belieferung inklusive oder exklusive Netznutzung) verbindlich mit. </w:t>
      </w:r>
    </w:p>
    <w:p w14:paraId="6114D634" w14:textId="77777777" w:rsidR="00261427" w:rsidRPr="00AF5D67" w:rsidRDefault="009325E1" w:rsidP="005B0047">
      <w:pPr>
        <w:pStyle w:val="berschrift3"/>
        <w:rPr>
          <w:sz w:val="22"/>
          <w:szCs w:val="22"/>
        </w:rPr>
      </w:pPr>
      <w:bookmarkStart w:id="7" w:name="_Toc446244932"/>
      <w:bookmarkStart w:id="8" w:name="_Toc99480692"/>
      <w:r w:rsidRPr="00EB2953">
        <w:rPr>
          <w:sz w:val="22"/>
          <w:szCs w:val="22"/>
        </w:rPr>
        <w:t xml:space="preserve">§ </w:t>
      </w:r>
      <w:r w:rsidR="00261427" w:rsidRPr="00AF5D67">
        <w:rPr>
          <w:sz w:val="22"/>
          <w:szCs w:val="22"/>
        </w:rPr>
        <w:t>3 Voraussetzungen der Netznutzung</w:t>
      </w:r>
      <w:bookmarkEnd w:id="7"/>
      <w:bookmarkEnd w:id="8"/>
    </w:p>
    <w:p w14:paraId="776A7E60" w14:textId="77777777" w:rsidR="001C16A1" w:rsidRDefault="00676741" w:rsidP="00B85D82">
      <w:pPr>
        <w:numPr>
          <w:ilvl w:val="0"/>
          <w:numId w:val="2"/>
        </w:numPr>
        <w:spacing w:before="120" w:line="240" w:lineRule="atLeast"/>
        <w:jc w:val="both"/>
        <w:rPr>
          <w:rFonts w:cs="Arial"/>
          <w:sz w:val="22"/>
          <w:szCs w:val="22"/>
        </w:rPr>
      </w:pPr>
      <w:r w:rsidRPr="009E1DEF">
        <w:rPr>
          <w:rFonts w:cs="Arial"/>
          <w:sz w:val="22"/>
          <w:szCs w:val="22"/>
        </w:rPr>
        <w:t xml:space="preserve">Ausspeisepunkte </w:t>
      </w:r>
      <w:r w:rsidR="001C16A1" w:rsidRPr="009E1DEF">
        <w:rPr>
          <w:rFonts w:cs="Arial"/>
          <w:sz w:val="22"/>
          <w:szCs w:val="22"/>
        </w:rPr>
        <w:t>müssen in ein vertraglich begründetes Bilanzkreissystem einbezogen und jeweils eindeutig und zu jedem Zeitpunkt vollständig einem Bilanzk</w:t>
      </w:r>
      <w:r w:rsidR="001C16A1" w:rsidRPr="003C48B6">
        <w:rPr>
          <w:rFonts w:cs="Arial"/>
          <w:sz w:val="22"/>
          <w:szCs w:val="22"/>
        </w:rPr>
        <w:t xml:space="preserve">reis </w:t>
      </w:r>
      <w:r w:rsidR="001C16A1" w:rsidRPr="00C23464">
        <w:rPr>
          <w:rFonts w:cs="Arial"/>
          <w:sz w:val="22"/>
          <w:szCs w:val="22"/>
        </w:rPr>
        <w:t>zugeordnet sein.</w:t>
      </w:r>
    </w:p>
    <w:p w14:paraId="4B7F21E2" w14:textId="77777777" w:rsidR="007C773A" w:rsidRPr="00FC49F6" w:rsidRDefault="007C773A" w:rsidP="00B85D82">
      <w:pPr>
        <w:numPr>
          <w:ilvl w:val="0"/>
          <w:numId w:val="2"/>
        </w:numPr>
        <w:spacing w:after="120" w:line="300" w:lineRule="atLeast"/>
        <w:jc w:val="both"/>
        <w:rPr>
          <w:sz w:val="22"/>
        </w:rPr>
      </w:pPr>
      <w:r w:rsidRPr="00FC49F6">
        <w:rPr>
          <w:sz w:val="22"/>
        </w:rPr>
        <w:t>Die vom Transportkunden angemeldeten Ausspeisepunkte werden nach GeLi Gas vom Netzbetreiber diesem Transportkunden zugeordnet und werden Bestandteil dieses Vertrages.</w:t>
      </w:r>
    </w:p>
    <w:p w14:paraId="6743C26D" w14:textId="6E417E4E"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r w:rsidR="00676741" w:rsidRPr="00010243">
        <w:rPr>
          <w:rFonts w:cs="Arial"/>
          <w:sz w:val="22"/>
          <w:szCs w:val="22"/>
        </w:rPr>
        <w:t xml:space="preserve"> Ausspeisepunkt</w:t>
      </w:r>
      <w:r w:rsidRPr="00010243">
        <w:rPr>
          <w:rFonts w:cs="Arial"/>
          <w:sz w:val="22"/>
          <w:szCs w:val="22"/>
        </w:rPr>
        <w:t xml:space="preserve"> zuzuordnen ist.</w:t>
      </w:r>
    </w:p>
    <w:p w14:paraId="2D86BBF2" w14:textId="77777777" w:rsidR="00010243" w:rsidRDefault="009325E1" w:rsidP="003050A2">
      <w:pPr>
        <w:numPr>
          <w:ilvl w:val="0"/>
          <w:numId w:val="2"/>
        </w:numPr>
        <w:spacing w:before="120" w:line="240" w:lineRule="atLeast"/>
        <w:jc w:val="both"/>
        <w:rP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r w:rsidR="00DE0EDF" w:rsidRPr="004D18B7">
        <w:rPr>
          <w:rFonts w:cs="Arial"/>
          <w:sz w:val="22"/>
          <w:szCs w:val="22"/>
        </w:rPr>
        <w:t xml:space="preserve">. </w:t>
      </w:r>
      <w:r w:rsidR="00D60E5B" w:rsidRPr="004D18B7">
        <w:rPr>
          <w:rFonts w:cs="Arial"/>
          <w:sz w:val="22"/>
          <w:szCs w:val="22"/>
        </w:rPr>
        <w:t>S</w:t>
      </w:r>
      <w:r w:rsidRPr="004D18B7">
        <w:rPr>
          <w:rFonts w:cs="Arial"/>
          <w:sz w:val="22"/>
          <w:szCs w:val="22"/>
        </w:rPr>
        <w:t xml:space="preserve">ofern der anmeldende </w:t>
      </w:r>
      <w:r w:rsidR="004D18B7" w:rsidRPr="004D18B7">
        <w:rPr>
          <w:rFonts w:cs="Arial"/>
          <w:sz w:val="22"/>
          <w:szCs w:val="22"/>
        </w:rPr>
        <w:t xml:space="preserve">Transportkunde </w:t>
      </w:r>
      <w:r w:rsidRPr="004D18B7">
        <w:rPr>
          <w:rFonts w:cs="Arial"/>
          <w:sz w:val="22"/>
          <w:szCs w:val="22"/>
        </w:rPr>
        <w:t xml:space="preserve">nicht zugleich Bilanzkreisverantwortlicher des betreffenden Bilanzkreises ist, </w:t>
      </w:r>
      <w:r w:rsidR="00D60E5B" w:rsidRPr="004D18B7">
        <w:rPr>
          <w:rFonts w:cs="Arial"/>
          <w:sz w:val="22"/>
          <w:szCs w:val="22"/>
        </w:rPr>
        <w:t>sichert er zu,</w:t>
      </w:r>
      <w:r w:rsidR="00D60E5B" w:rsidRPr="00C23464">
        <w:t xml:space="preserve"> </w:t>
      </w:r>
      <w:r w:rsidR="00D60E5B" w:rsidRPr="004D18B7">
        <w:rPr>
          <w:rFonts w:cs="Arial"/>
          <w:sz w:val="22"/>
          <w:szCs w:val="22"/>
        </w:rPr>
        <w:t xml:space="preserve">dass er von dem Bilanzkreisverantwortlichen für die unter Ziffer 2 benannten Bilanzkreise bevollmächtigt ist, in dessen Namen Ausspeisepunkte in diese Bilanzkreise zuzuordnen. </w:t>
      </w: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24E4FF6B" w14:textId="77777777" w:rsidR="00B53D35" w:rsidRPr="0084045B" w:rsidRDefault="00B53D35" w:rsidP="00FC49F6">
      <w:pPr>
        <w:pStyle w:val="GL2OhneZiffer"/>
        <w:spacing w:line="240" w:lineRule="atLeast"/>
        <w:ind w:left="709"/>
        <w:jc w:val="both"/>
        <w:rPr>
          <w:iCs/>
          <w:szCs w:val="22"/>
        </w:rPr>
      </w:pPr>
      <w:r w:rsidRPr="0084045B">
        <w:rPr>
          <w:szCs w:val="22"/>
        </w:rPr>
        <w:t xml:space="preserve">Die Vertragspartner teilen einander Änderungen von bilanzierungsrelevanten Daten nach den Fristen der GeLi Gas mit. </w:t>
      </w:r>
      <w:r w:rsidRPr="0084045B">
        <w:rPr>
          <w:iCs/>
          <w:szCs w:val="22"/>
        </w:rPr>
        <w:t xml:space="preserve">Die initiale Meldung von neuen hinzukommenden Bilanzkreisnummern/Sub-Bilanzkontonummern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GeLi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Bilanzkreisnummern/Sub-Bilanzkontonummern gelten die in der GeLi Gas hierfür vorgesehenen Fristen.</w:t>
      </w:r>
    </w:p>
    <w:p w14:paraId="002770CF" w14:textId="77777777" w:rsidR="00B53D35" w:rsidRPr="004D18B7" w:rsidRDefault="00B53D35" w:rsidP="00FC49F6">
      <w:pPr>
        <w:spacing w:before="120" w:line="240" w:lineRule="atLeast"/>
        <w:ind w:left="720"/>
        <w:jc w:val="both"/>
        <w:rPr>
          <w:rFonts w:cs="Arial"/>
          <w:sz w:val="22"/>
          <w:szCs w:val="22"/>
        </w:rPr>
      </w:pPr>
      <w:r w:rsidRPr="00B53D35">
        <w:rPr>
          <w:iCs/>
          <w:sz w:val="22"/>
          <w:szCs w:val="22"/>
        </w:rPr>
        <w:t xml:space="preserve">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w:t>
      </w:r>
      <w:r w:rsidR="00C13CF9" w:rsidRPr="000E4D98">
        <w:rPr>
          <w:iCs/>
          <w:sz w:val="22"/>
          <w:szCs w:val="22"/>
        </w:rPr>
        <w:t>Anmeldung der Änderung der Bilanzkreiszuordnung im Rahmen des Prozesses Stammdatenänderung mitzuteilen</w:t>
      </w:r>
      <w:r w:rsidR="00C13CF9" w:rsidRPr="000E4D98">
        <w:rPr>
          <w:iCs/>
          <w:szCs w:val="22"/>
        </w:rPr>
        <w:t>.</w:t>
      </w:r>
    </w:p>
    <w:p w14:paraId="041F6CE0" w14:textId="77777777" w:rsidR="003050A2" w:rsidRDefault="003050A2" w:rsidP="00D85678">
      <w:pPr>
        <w:numPr>
          <w:ilvl w:val="0"/>
          <w:numId w:val="2"/>
        </w:numPr>
        <w:tabs>
          <w:tab w:val="left" w:pos="0"/>
        </w:tabs>
        <w:spacing w:before="120" w:after="120" w:line="240" w:lineRule="atLeast"/>
        <w:ind w:left="714" w:hanging="357"/>
        <w:jc w:val="both"/>
        <w:rPr>
          <w:rFonts w:cs="Arial"/>
          <w:sz w:val="22"/>
          <w:szCs w:val="22"/>
        </w:rPr>
      </w:pP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 xml:space="preserve">asnetzzugangsverordnung (GasNZV) erfolgt über die Angabe </w:t>
      </w:r>
      <w:r w:rsidR="00F072BD">
        <w:rPr>
          <w:rFonts w:cs="Arial"/>
          <w:sz w:val="22"/>
          <w:szCs w:val="22"/>
        </w:rPr>
        <w:t xml:space="preserve">in </w:t>
      </w:r>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p>
    <w:p w14:paraId="44A07F47" w14:textId="77777777" w:rsidR="003050A2" w:rsidRPr="00F56DA7" w:rsidRDefault="00F56DA7" w:rsidP="00F56DA7">
      <w:pPr>
        <w:pStyle w:val="berschrift3"/>
        <w:rPr>
          <w:sz w:val="22"/>
          <w:szCs w:val="22"/>
        </w:rPr>
      </w:pPr>
      <w:bookmarkStart w:id="9" w:name="_Toc446244933"/>
      <w:bookmarkStart w:id="10" w:name="_Toc99480693"/>
      <w:r w:rsidRPr="00F56DA7">
        <w:rPr>
          <w:sz w:val="22"/>
          <w:szCs w:val="22"/>
        </w:rPr>
        <w:t xml:space="preserve">§ </w:t>
      </w:r>
      <w:r w:rsidR="00A065A7">
        <w:rPr>
          <w:sz w:val="22"/>
          <w:szCs w:val="22"/>
        </w:rPr>
        <w:t>4</w:t>
      </w:r>
      <w:r w:rsidR="003050A2" w:rsidRPr="00F56DA7">
        <w:rPr>
          <w:sz w:val="22"/>
          <w:szCs w:val="22"/>
        </w:rPr>
        <w:t xml:space="preserve"> Gasbeschaffenheit</w:t>
      </w:r>
      <w:bookmarkEnd w:id="9"/>
      <w:bookmarkEnd w:id="10"/>
      <w:r w:rsidR="003050A2" w:rsidRPr="00F56DA7">
        <w:rPr>
          <w:sz w:val="22"/>
          <w:szCs w:val="22"/>
        </w:rPr>
        <w:t xml:space="preserve"> </w:t>
      </w:r>
    </w:p>
    <w:p w14:paraId="5C3FADF4" w14:textId="065E6F57" w:rsidR="00A065A7" w:rsidRPr="00B85D82" w:rsidRDefault="003050A2" w:rsidP="00FC49F6">
      <w:pPr>
        <w:numPr>
          <w:ilvl w:val="0"/>
          <w:numId w:val="47"/>
        </w:numPr>
        <w:spacing w:before="120" w:after="120" w:line="240" w:lineRule="atLeast"/>
        <w:ind w:left="714" w:hanging="357"/>
        <w:jc w:val="both"/>
      </w:pPr>
      <w:r w:rsidRPr="00B85D82">
        <w:rPr>
          <w:rFonts w:cs="Arial"/>
          <w:sz w:val="22"/>
          <w:szCs w:val="22"/>
        </w:rPr>
        <w:t xml:space="preserve">Gas im Sinne dieses Vertrages sind die Gase der 2. Gasfamilie nach dem </w:t>
      </w:r>
      <w:r w:rsidR="006E21BC">
        <w:rPr>
          <w:rFonts w:cs="Arial"/>
          <w:sz w:val="22"/>
          <w:szCs w:val="22"/>
        </w:rPr>
        <w:t>DVGW-</w:t>
      </w:r>
      <w:r w:rsidRPr="00B85D82">
        <w:rPr>
          <w:rFonts w:cs="Arial"/>
          <w:sz w:val="22"/>
          <w:szCs w:val="22"/>
        </w:rPr>
        <w:t>Arbeitsblatt G 260 in der jeweils gültigen Fassung.</w:t>
      </w:r>
    </w:p>
    <w:p w14:paraId="12015790" w14:textId="77777777"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14:paraId="5888F4B2" w14:textId="6FE21519"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Der Netzbetreiber ist zu einer Änderung der Gasbeschaffenheit innerhalb der Grenzen des DVGW</w:t>
      </w:r>
      <w:r w:rsidR="001D43FA">
        <w:rPr>
          <w:rFonts w:cs="Arial"/>
          <w:sz w:val="22"/>
          <w:szCs w:val="22"/>
        </w:rPr>
        <w:t>-</w:t>
      </w:r>
      <w:r w:rsidRPr="00B85D82">
        <w:rPr>
          <w:rFonts w:cs="Arial"/>
          <w:sz w:val="22"/>
          <w:szCs w:val="22"/>
        </w:rPr>
        <w:t xml:space="preserve">Arbeitsblattes G 260 in der jeweils gültigen Fassung ohne Zustimmung des Transportkunden mit einer Vorankündigungsfrist von 3 Jahren berechtigt. </w:t>
      </w:r>
    </w:p>
    <w:p w14:paraId="19203226"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w:t>
      </w:r>
      <w:proofErr w:type="gramStart"/>
      <w:r w:rsidRPr="00B85D82">
        <w:rPr>
          <w:rFonts w:cs="Arial"/>
          <w:sz w:val="22"/>
          <w:szCs w:val="22"/>
        </w:rPr>
        <w:t>gemäß bestehender Fristen</w:t>
      </w:r>
      <w:proofErr w:type="gramEnd"/>
      <w:r w:rsidRPr="00B85D82">
        <w:rPr>
          <w:rFonts w:cs="Arial"/>
          <w:sz w:val="22"/>
          <w:szCs w:val="22"/>
        </w:rPr>
        <w:t xml:space="preserve"> rechtzeitig zum bilanziellen Umstellungstermin erfolgt.</w:t>
      </w:r>
    </w:p>
    <w:p w14:paraId="03309B59" w14:textId="4F505EA3"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w:t>
      </w:r>
      <w:r w:rsidR="001D43FA">
        <w:rPr>
          <w:rFonts w:cs="Arial"/>
          <w:sz w:val="22"/>
          <w:szCs w:val="22"/>
        </w:rPr>
        <w:t>und 4</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p>
    <w:p w14:paraId="7AC45A01"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Prozessen der GeLi Gas diese Mitteilungen. </w:t>
      </w:r>
    </w:p>
    <w:p w14:paraId="59BDCCCE"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Die Bilanzkreiszuordnung der umstellungsrelevanten Ausspeisepunkte zu H-Gas-Bilanzkreisen/Sub-Bilanzkonten teilt der Transportkunde dem Netzbetreiber mindestens 2 Monate vor dem bilanziellen Umstellungstermin gemäß dem Prozess Stammdatenänderung der GeLi Gas mit.</w:t>
      </w:r>
    </w:p>
    <w:p w14:paraId="6166CFBA" w14:textId="067A7E3E" w:rsidR="00A065A7" w:rsidRPr="00781D14"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Der Netzbetreiber wird den Transportkunden unverzüglich nach Abstimmung des Umstellungsfahrplans zwischen den betroffenen Netzbetreibern, jedoch spätestens </w:t>
      </w:r>
      <w:r w:rsidRPr="00781D14">
        <w:rPr>
          <w:rFonts w:cs="Arial"/>
          <w:sz w:val="22"/>
          <w:szCs w:val="22"/>
        </w:rPr>
        <w:t>1</w:t>
      </w:r>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F02AC0">
        <w:rPr>
          <w:rFonts w:cs="Arial"/>
          <w:sz w:val="22"/>
          <w:szCs w:val="22"/>
        </w:rPr>
        <w:t>In begründeten Fällen kann innerhalb der laufenden Ankündigungsfrist eine Verschiebung des bilanziellen Umstellungstermins</w:t>
      </w:r>
      <w:r w:rsidR="005D4679" w:rsidRPr="00F02AC0">
        <w:rPr>
          <w:rFonts w:cs="Arial"/>
          <w:sz w:val="22"/>
          <w:szCs w:val="22"/>
        </w:rPr>
        <w:t xml:space="preserve"> </w:t>
      </w:r>
      <w:r w:rsidR="001B5BAE" w:rsidRPr="00F02AC0">
        <w:rPr>
          <w:rFonts w:cs="Arial"/>
          <w:sz w:val="22"/>
          <w:szCs w:val="22"/>
        </w:rPr>
        <w:t>erfolgen.</w:t>
      </w:r>
      <w:r w:rsidR="00781D14" w:rsidRPr="00F02AC0">
        <w:rPr>
          <w:rFonts w:cs="Arial"/>
          <w:sz w:val="22"/>
          <w:szCs w:val="22"/>
        </w:rPr>
        <w:t xml:space="preserve"> </w:t>
      </w:r>
      <w:r w:rsidR="00320F6F" w:rsidRPr="00F02AC0">
        <w:rPr>
          <w:rFonts w:cs="Arial"/>
          <w:sz w:val="22"/>
          <w:szCs w:val="22"/>
        </w:rPr>
        <w:t>Bei einer Vorverlegung ist diese längstens für drei Monate gegenüber dem ursprünglich mitgeteilten bilanziellen Umstellungstermin möglich, unter Einhaltung einer Mindestvorankündigungsfrist von sechs Monaten vor dem geänderten bilanziellen Umstellungstermin.</w:t>
      </w:r>
    </w:p>
    <w:p w14:paraId="403C0B0E" w14:textId="77777777" w:rsidR="003050A2"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Entsprechen die vom Netzbetreiber an den Ausspeisepunkten übergebenen Gasmengen nicht den Anforderungen im Hinblick auf die Gasbeschaffenheit gemäß Ziffer 2 (im Folgenden „Off-Spec-Gas“ genannt) ist 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p w14:paraId="5A80F4EC" w14:textId="77777777" w:rsidR="00261427" w:rsidRPr="007B1770" w:rsidRDefault="00261427" w:rsidP="005B0047">
      <w:pPr>
        <w:pStyle w:val="berschrift3"/>
        <w:rPr>
          <w:sz w:val="22"/>
          <w:szCs w:val="22"/>
        </w:rPr>
      </w:pPr>
      <w:bookmarkStart w:id="11" w:name="_Toc446244934"/>
      <w:bookmarkStart w:id="12" w:name="_Toc99480694"/>
      <w:r w:rsidRPr="007B1770">
        <w:rPr>
          <w:sz w:val="22"/>
          <w:szCs w:val="22"/>
        </w:rPr>
        <w:t xml:space="preserve">§ </w:t>
      </w:r>
      <w:r w:rsidR="00B85D82">
        <w:rPr>
          <w:sz w:val="22"/>
          <w:szCs w:val="22"/>
        </w:rPr>
        <w:t>5</w:t>
      </w:r>
      <w:r w:rsidRPr="007B1770">
        <w:rPr>
          <w:sz w:val="22"/>
          <w:szCs w:val="22"/>
        </w:rPr>
        <w:t xml:space="preserve"> Geschäftsprozesse und Datenaustausch zur Abwicklung der Netznutzung</w:t>
      </w:r>
      <w:bookmarkEnd w:id="11"/>
      <w:bookmarkEnd w:id="12"/>
    </w:p>
    <w:p w14:paraId="2040DD99" w14:textId="77777777"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r w:rsidR="00D60E5B" w:rsidRPr="00010243">
        <w:rPr>
          <w:rFonts w:cs="Arial"/>
          <w:sz w:val="22"/>
          <w:szCs w:val="22"/>
        </w:rPr>
        <w:t xml:space="preserve">Ausspeisepunkte </w:t>
      </w:r>
      <w:r w:rsidRPr="00010243">
        <w:rPr>
          <w:rFonts w:cs="Arial"/>
          <w:sz w:val="22"/>
          <w:szCs w:val="22"/>
        </w:rPr>
        <w:t>erfolgt</w:t>
      </w:r>
    </w:p>
    <w:p w14:paraId="73820494" w14:textId="2449D7B5"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r w:rsidR="00F56DA7" w:rsidRPr="00F56DA7">
        <w:rPr>
          <w:rFonts w:cs="Arial"/>
          <w:sz w:val="22"/>
          <w:szCs w:val="22"/>
        </w:rPr>
        <w:t xml:space="preserve">beim Wechsel des Lieferanten bei der Belieferung mit Gas </w:t>
      </w:r>
      <w:r w:rsidR="00F56DA7">
        <w:rPr>
          <w:rFonts w:cs="Arial"/>
          <w:sz w:val="22"/>
          <w:szCs w:val="22"/>
        </w:rPr>
        <w:t>(</w:t>
      </w:r>
      <w:r w:rsidR="00F56DA7" w:rsidRPr="00F56DA7">
        <w:rPr>
          <w:rFonts w:cs="Arial"/>
          <w:sz w:val="22"/>
          <w:szCs w:val="22"/>
        </w:rPr>
        <w:t>GeLi Gas</w:t>
      </w:r>
      <w:r w:rsidR="00F56DA7">
        <w:rPr>
          <w:rFonts w:cs="Arial"/>
          <w:sz w:val="22"/>
          <w:szCs w:val="22"/>
        </w:rPr>
        <w:t>)</w:t>
      </w:r>
      <w:r w:rsidRPr="003A2313">
        <w:rPr>
          <w:rFonts w:cs="Arial"/>
          <w:sz w:val="22"/>
          <w:szCs w:val="22"/>
        </w:rPr>
        <w:t>“ (</w:t>
      </w:r>
      <w:r w:rsidR="00F56DA7" w:rsidRPr="00F56DA7">
        <w:rPr>
          <w:rFonts w:cs="Arial"/>
          <w:sz w:val="22"/>
          <w:szCs w:val="22"/>
        </w:rPr>
        <w:t>BK7-06-067</w:t>
      </w:r>
      <w:r w:rsidRPr="003A2313">
        <w:rPr>
          <w:rFonts w:cs="Arial"/>
          <w:sz w:val="22"/>
          <w:szCs w:val="22"/>
        </w:rPr>
        <w:t>) in jeweils geltender Fassung,</w:t>
      </w:r>
    </w:p>
    <w:p w14:paraId="5DF6A557" w14:textId="3B96189A"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r w:rsidR="00F56DA7">
        <w:rPr>
          <w:rFonts w:cs="Arial"/>
          <w:sz w:val="22"/>
          <w:szCs w:val="22"/>
        </w:rPr>
        <w:t>„</w:t>
      </w:r>
      <w:r w:rsidRPr="00A870EB">
        <w:rPr>
          <w:rFonts w:cs="Arial"/>
          <w:sz w:val="22"/>
          <w:szCs w:val="22"/>
        </w:rPr>
        <w:t xml:space="preserve">Festlegung </w:t>
      </w:r>
      <w:r w:rsidR="00F56DA7">
        <w:rPr>
          <w:rFonts w:cs="Arial"/>
          <w:sz w:val="22"/>
          <w:szCs w:val="22"/>
        </w:rPr>
        <w:t>in Sachen Bilanzierung Gas (Umsetzung des Netzkodexes Gasbilanzierung, „GaBi Gas 2.0“)</w:t>
      </w:r>
      <w:r w:rsidRPr="00A870EB">
        <w:rPr>
          <w:rFonts w:cs="Arial"/>
          <w:sz w:val="22"/>
          <w:szCs w:val="22"/>
        </w:rPr>
        <w:t>“ (</w:t>
      </w:r>
      <w:r w:rsidR="00F56DA7">
        <w:rPr>
          <w:rFonts w:cs="Arial"/>
          <w:sz w:val="22"/>
          <w:szCs w:val="22"/>
        </w:rPr>
        <w:t>BK7-14-020</w:t>
      </w:r>
      <w:r w:rsidRPr="00A870EB">
        <w:rPr>
          <w:rFonts w:cs="Arial"/>
          <w:sz w:val="22"/>
          <w:szCs w:val="22"/>
        </w:rPr>
        <w:t xml:space="preserve">) </w:t>
      </w:r>
      <w:r w:rsidRPr="00D70197">
        <w:rPr>
          <w:rFonts w:cs="Arial"/>
          <w:sz w:val="22"/>
          <w:szCs w:val="22"/>
        </w:rPr>
        <w:t xml:space="preserve">in </w:t>
      </w:r>
      <w:r w:rsidR="00D904F3">
        <w:rPr>
          <w:rFonts w:cs="Arial"/>
          <w:sz w:val="22"/>
          <w:szCs w:val="22"/>
        </w:rPr>
        <w:t xml:space="preserve">jeweils </w:t>
      </w:r>
      <w:r w:rsidRPr="00D70197">
        <w:rPr>
          <w:rFonts w:cs="Arial"/>
          <w:sz w:val="22"/>
          <w:szCs w:val="22"/>
        </w:rPr>
        <w:t>geltender Fassung sowie</w:t>
      </w:r>
    </w:p>
    <w:p w14:paraId="5A31D2F2" w14:textId="293F1D54"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unter Anwendung</w:t>
      </w:r>
      <w:r w:rsidR="007F2FFB">
        <w:rPr>
          <w:rFonts w:cs="Arial"/>
          <w:sz w:val="22"/>
          <w:szCs w:val="22"/>
        </w:rPr>
        <w:t xml:space="preserve"> der</w:t>
      </w:r>
      <w:r w:rsidRPr="009E1DEF">
        <w:rPr>
          <w:rFonts w:cs="Arial"/>
          <w:sz w:val="22"/>
          <w:szCs w:val="22"/>
        </w:rPr>
        <w:t xml:space="preserve"> </w:t>
      </w:r>
      <w:r w:rsidR="00D904F3">
        <w:rPr>
          <w:rFonts w:cs="Arial"/>
          <w:sz w:val="22"/>
          <w:szCs w:val="22"/>
        </w:rPr>
        <w:t>BDEW/VKU-Anwendungshilfe</w:t>
      </w:r>
      <w:r w:rsidR="007F2FFB">
        <w:rPr>
          <w:rFonts w:cs="Arial"/>
          <w:sz w:val="22"/>
          <w:szCs w:val="22"/>
        </w:rPr>
        <w:t xml:space="preserve"> </w:t>
      </w:r>
      <w:r w:rsidR="00D904F3">
        <w:rPr>
          <w:rFonts w:cs="Arial"/>
          <w:sz w:val="22"/>
          <w:szCs w:val="22"/>
        </w:rPr>
        <w:t>„</w:t>
      </w:r>
      <w:r w:rsidR="007F2FFB" w:rsidRPr="008B66DB">
        <w:rPr>
          <w:rFonts w:cs="Arial"/>
          <w:bCs/>
          <w:sz w:val="22"/>
          <w:szCs w:val="22"/>
        </w:rPr>
        <w:t>Wechselprozesse im Messwesen für die Sparte Gas</w:t>
      </w:r>
      <w:r w:rsidR="00D904F3">
        <w:rPr>
          <w:rFonts w:cs="Arial"/>
          <w:bCs/>
          <w:sz w:val="22"/>
          <w:szCs w:val="22"/>
        </w:rPr>
        <w:t>“</w:t>
      </w:r>
      <w:r w:rsidR="00E741F7">
        <w:rPr>
          <w:rFonts w:cs="Arial"/>
          <w:sz w:val="22"/>
          <w:szCs w:val="22"/>
        </w:rPr>
        <w:t xml:space="preserve"> </w:t>
      </w:r>
      <w:r w:rsidRPr="009E1DEF">
        <w:rPr>
          <w:rFonts w:cs="Arial"/>
          <w:sz w:val="22"/>
          <w:szCs w:val="22"/>
        </w:rPr>
        <w:t>in jeweils geltender Fassung.</w:t>
      </w:r>
    </w:p>
    <w:p w14:paraId="44766DAC" w14:textId="3978A5C1"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„EDI@E</w:t>
      </w:r>
      <w:r w:rsidR="007C583A" w:rsidRPr="00D70197">
        <w:rPr>
          <w:rFonts w:cs="Arial"/>
          <w:sz w:val="22"/>
          <w:szCs w:val="22"/>
        </w:rPr>
        <w:t>nergy</w:t>
      </w:r>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r w:rsidR="001F120C" w:rsidRPr="001F120C">
        <w:rPr>
          <w:rFonts w:cs="Arial"/>
          <w:sz w:val="22"/>
          <w:szCs w:val="22"/>
        </w:rPr>
        <w:t xml:space="preserve"> </w:t>
      </w:r>
      <w:r w:rsidR="001F120C" w:rsidRPr="00074A24">
        <w:rPr>
          <w:rFonts w:cs="Arial"/>
          <w:sz w:val="22"/>
          <w:szCs w:val="22"/>
        </w:rPr>
        <w:t xml:space="preserve">Bei der Auslegung </w:t>
      </w:r>
      <w:r w:rsidR="001F120C">
        <w:rPr>
          <w:rFonts w:cs="Arial"/>
          <w:sz w:val="22"/>
          <w:szCs w:val="22"/>
        </w:rPr>
        <w:t xml:space="preserve">der Spezifikationen </w:t>
      </w:r>
      <w:r w:rsidR="001F120C" w:rsidRPr="00074A24">
        <w:rPr>
          <w:rFonts w:cs="Arial"/>
          <w:sz w:val="22"/>
          <w:szCs w:val="22"/>
        </w:rPr>
        <w:t>sind auch die von</w:t>
      </w:r>
      <w:r w:rsidR="001F120C">
        <w:rPr>
          <w:rFonts w:cs="Arial"/>
          <w:sz w:val="22"/>
          <w:szCs w:val="22"/>
        </w:rPr>
        <w:t xml:space="preserve"> </w:t>
      </w:r>
      <w:r w:rsidR="001F120C" w:rsidRPr="00074A24">
        <w:rPr>
          <w:rFonts w:cs="Arial"/>
          <w:sz w:val="22"/>
          <w:szCs w:val="22"/>
        </w:rPr>
        <w:t>EDI@Energy veröffentlichten Fehlerkorrekturen zu berücksichtigen</w:t>
      </w:r>
      <w:r w:rsidR="00074A24" w:rsidRPr="00074A24">
        <w:rPr>
          <w:rFonts w:cs="Arial"/>
          <w:sz w:val="22"/>
          <w:szCs w:val="22"/>
        </w:rPr>
        <w:t>.</w:t>
      </w:r>
    </w:p>
    <w:p w14:paraId="0E5A3E92" w14:textId="77777777" w:rsidR="001254E7" w:rsidRDefault="009E216F" w:rsidP="007C583A">
      <w:pPr>
        <w:numPr>
          <w:ilvl w:val="0"/>
          <w:numId w:val="28"/>
        </w:numPr>
        <w:spacing w:before="120" w:line="240" w:lineRule="atLeast"/>
        <w:jc w:val="both"/>
        <w:rPr>
          <w:rFonts w:cs="Arial"/>
          <w:sz w:val="22"/>
          <w:szCs w:val="22"/>
        </w:rPr>
      </w:pPr>
      <w:r w:rsidRPr="009E216F">
        <w:rPr>
          <w:rFonts w:cs="Arial"/>
          <w:sz w:val="22"/>
          <w:szCs w:val="22"/>
        </w:rPr>
        <w:t xml:space="preserve">Regelungslücken, die sich auf die Marktkommunikation beziehen und die sich in Anwendung der unter </w:t>
      </w:r>
      <w:r w:rsidR="00684541">
        <w:rPr>
          <w:rFonts w:cs="Arial"/>
          <w:sz w:val="22"/>
          <w:szCs w:val="22"/>
        </w:rPr>
        <w:t>Ziffer</w:t>
      </w:r>
      <w:r w:rsidR="00684541" w:rsidRPr="009E216F">
        <w:rPr>
          <w:rFonts w:cs="Arial"/>
          <w:sz w:val="22"/>
          <w:szCs w:val="22"/>
        </w:rPr>
        <w:t xml:space="preserve"> </w:t>
      </w:r>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Beteiligung von Vertretern der Netzbetreiber und </w:t>
      </w:r>
      <w:r w:rsidR="00E63629" w:rsidRPr="00701BD5">
        <w:rPr>
          <w:rFonts w:cs="Arial"/>
          <w:sz w:val="22"/>
          <w:szCs w:val="22"/>
        </w:rPr>
        <w:t xml:space="preserve">Transportkunden </w:t>
      </w:r>
      <w:r w:rsidRPr="009E216F">
        <w:rPr>
          <w:rFonts w:cs="Arial"/>
          <w:sz w:val="22"/>
          <w:szCs w:val="22"/>
        </w:rPr>
        <w:t xml:space="preserve">erarbeitet wurden und als „konsensual“ eingestuft sind. </w:t>
      </w:r>
    </w:p>
    <w:p w14:paraId="371F2DC6" w14:textId="77777777" w:rsidR="00D02BA3" w:rsidRPr="00EB2953" w:rsidRDefault="00D02BA3" w:rsidP="005B0047">
      <w:pPr>
        <w:pStyle w:val="berschrift3"/>
        <w:ind w:left="709" w:hanging="709"/>
        <w:rPr>
          <w:sz w:val="22"/>
          <w:szCs w:val="22"/>
        </w:rPr>
      </w:pPr>
      <w:bookmarkStart w:id="13" w:name="_Toc446244935"/>
      <w:bookmarkStart w:id="14" w:name="_Toc99480695"/>
      <w:r w:rsidRPr="003A2313">
        <w:rPr>
          <w:sz w:val="22"/>
          <w:szCs w:val="22"/>
        </w:rPr>
        <w:t xml:space="preserve">§ </w:t>
      </w:r>
      <w:r w:rsidR="00B85D82">
        <w:rPr>
          <w:sz w:val="22"/>
          <w:szCs w:val="22"/>
        </w:rPr>
        <w:t>6</w:t>
      </w:r>
      <w:r w:rsidRPr="003A2313">
        <w:rPr>
          <w:sz w:val="22"/>
          <w:szCs w:val="22"/>
        </w:rPr>
        <w:t xml:space="preserve"> Registrierende </w:t>
      </w:r>
      <w:r w:rsidR="00512583" w:rsidRPr="000C0B9D">
        <w:rPr>
          <w:sz w:val="22"/>
          <w:szCs w:val="22"/>
        </w:rPr>
        <w:t>Leistungsmessung</w:t>
      </w:r>
      <w:r w:rsidRPr="000C0B9D">
        <w:rPr>
          <w:sz w:val="22"/>
          <w:szCs w:val="22"/>
        </w:rPr>
        <w:t xml:space="preserve"> </w:t>
      </w:r>
      <w:r w:rsidRPr="00397BE0">
        <w:rPr>
          <w:sz w:val="22"/>
          <w:szCs w:val="22"/>
        </w:rPr>
        <w:t>und Standardlastprofilverfahren</w:t>
      </w:r>
      <w:bookmarkEnd w:id="13"/>
      <w:bookmarkEnd w:id="14"/>
      <w:r w:rsidRPr="00397BE0">
        <w:rPr>
          <w:sz w:val="22"/>
          <w:szCs w:val="22"/>
        </w:rPr>
        <w:t xml:space="preserve"> </w:t>
      </w:r>
    </w:p>
    <w:p w14:paraId="422BCA63" w14:textId="77777777"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r w:rsidR="00CE00F5" w:rsidRPr="00313129">
        <w:rPr>
          <w:rFonts w:cs="Arial"/>
          <w:sz w:val="22"/>
          <w:szCs w:val="22"/>
        </w:rPr>
        <w:t>1</w:t>
      </w:r>
      <w:r w:rsidRPr="009E1DEF">
        <w:rPr>
          <w:rFonts w:cs="Arial"/>
          <w:sz w:val="22"/>
          <w:szCs w:val="22"/>
        </w:rPr>
        <w:t>h-Messperiode für die Bilanzierung, Abrechnung der Netznutzung sowie Energieabrechnung werden Zeitreihen verwendet.</w:t>
      </w:r>
    </w:p>
    <w:p w14:paraId="2500206B" w14:textId="77777777" w:rsidR="00D02BA3" w:rsidRPr="00C45BAB" w:rsidRDefault="00D02BA3" w:rsidP="000E0C0D">
      <w:pPr>
        <w:numPr>
          <w:ilvl w:val="0"/>
          <w:numId w:val="14"/>
        </w:numPr>
        <w:spacing w:before="120" w:line="240" w:lineRule="atLeast"/>
        <w:jc w:val="both"/>
        <w:rPr>
          <w:rFonts w:cs="Arial"/>
          <w:sz w:val="22"/>
          <w:szCs w:val="22"/>
        </w:rPr>
      </w:pPr>
      <w:r w:rsidRPr="00397BE0">
        <w:rPr>
          <w:rFonts w:cs="Arial"/>
          <w:sz w:val="22"/>
          <w:szCs w:val="22"/>
        </w:rPr>
        <w:t xml:space="preserve">Sofern </w:t>
      </w: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r w:rsidRPr="00397BE0">
        <w:rPr>
          <w:rFonts w:cs="Arial"/>
          <w:sz w:val="22"/>
          <w:szCs w:val="22"/>
        </w:rPr>
        <w:t xml:space="preserve">nicht abweichende Grenzwerte nach § </w:t>
      </w:r>
      <w:r w:rsidR="00991B27">
        <w:rPr>
          <w:rFonts w:cs="Arial"/>
          <w:sz w:val="22"/>
          <w:szCs w:val="22"/>
        </w:rPr>
        <w:t>24</w:t>
      </w:r>
      <w:r w:rsidR="00991B27" w:rsidRPr="00397BE0">
        <w:rPr>
          <w:rFonts w:cs="Arial"/>
          <w:sz w:val="22"/>
          <w:szCs w:val="22"/>
        </w:rPr>
        <w:t xml:space="preserve"> </w:t>
      </w:r>
      <w:r w:rsidRPr="00397BE0">
        <w:rPr>
          <w:rFonts w:cs="Arial"/>
          <w:sz w:val="22"/>
          <w:szCs w:val="22"/>
        </w:rPr>
        <w:t xml:space="preserve">Abs. </w:t>
      </w:r>
      <w:r w:rsidR="00991B27">
        <w:rPr>
          <w:rFonts w:cs="Arial"/>
          <w:sz w:val="22"/>
          <w:szCs w:val="22"/>
        </w:rPr>
        <w:t>2</w:t>
      </w:r>
      <w:r w:rsidR="00991B27" w:rsidRPr="00397BE0">
        <w:rPr>
          <w:rFonts w:cs="Arial"/>
          <w:sz w:val="22"/>
          <w:szCs w:val="22"/>
        </w:rPr>
        <w:t xml:space="preserve"> </w:t>
      </w:r>
      <w:r w:rsidR="00991B27">
        <w:rPr>
          <w:rFonts w:cs="Arial"/>
          <w:sz w:val="22"/>
          <w:szCs w:val="22"/>
        </w:rPr>
        <w:t>Gas</w:t>
      </w:r>
      <w:r w:rsidRPr="00397BE0">
        <w:rPr>
          <w:rFonts w:cs="Arial"/>
          <w:sz w:val="22"/>
          <w:szCs w:val="22"/>
        </w:rPr>
        <w:t>netzzugangsverordnung (</w:t>
      </w:r>
      <w:r w:rsidR="00991B27">
        <w:rPr>
          <w:rFonts w:cs="Arial"/>
          <w:sz w:val="22"/>
          <w:szCs w:val="22"/>
        </w:rPr>
        <w:t>Gas</w:t>
      </w:r>
      <w:r w:rsidR="00991B27" w:rsidRPr="00397BE0">
        <w:rPr>
          <w:rFonts w:cs="Arial"/>
          <w:sz w:val="22"/>
          <w:szCs w:val="22"/>
        </w:rPr>
        <w:t>NZV</w:t>
      </w:r>
      <w:r w:rsidRPr="00397BE0">
        <w:rPr>
          <w:rFonts w:cs="Arial"/>
          <w:sz w:val="22"/>
          <w:szCs w:val="22"/>
        </w:rPr>
        <w:t xml:space="preserve">) Anwendung finden, verwendet der Netzbetreiber </w:t>
      </w:r>
      <w:r w:rsidR="00991B27" w:rsidRPr="00B2400A">
        <w:rPr>
          <w:rFonts w:cs="Arial"/>
          <w:sz w:val="22"/>
          <w:szCs w:val="22"/>
        </w:rPr>
        <w:t>für die Allokation der Ausspeisemengen von Letztverbrauchern mit einer stündlichen Ausspeiseleistung bis zu 500 kW und einer Jahresenergiemenge bis zu 1.500.000 kWh Standardlastprofile</w:t>
      </w:r>
      <w:r w:rsidRPr="00A870EB">
        <w:rPr>
          <w:rFonts w:cs="Arial"/>
          <w:sz w:val="22"/>
          <w:szCs w:val="22"/>
        </w:rPr>
        <w:t xml:space="preserve">. </w:t>
      </w:r>
      <w:r w:rsidRPr="00397BE0">
        <w:rPr>
          <w:rFonts w:cs="Arial"/>
          <w:sz w:val="22"/>
          <w:szCs w:val="22"/>
        </w:rPr>
        <w:t>In allen anderen Fällen erfolgt</w:t>
      </w:r>
      <w:r w:rsidRPr="00D70197">
        <w:rPr>
          <w:rFonts w:cs="Arial"/>
          <w:sz w:val="22"/>
          <w:szCs w:val="22"/>
        </w:rPr>
        <w:t xml:space="preserve"> eine registrierende </w:t>
      </w:r>
      <w:r w:rsidR="00991B27">
        <w:rPr>
          <w:rFonts w:cs="Arial"/>
          <w:sz w:val="22"/>
          <w:szCs w:val="22"/>
        </w:rPr>
        <w:t>Leistungs</w:t>
      </w:r>
      <w:r w:rsidR="00991B27" w:rsidRPr="00D70197">
        <w:rPr>
          <w:rFonts w:cs="Arial"/>
          <w:sz w:val="22"/>
          <w:szCs w:val="22"/>
        </w:rPr>
        <w:t xml:space="preserve">messung </w:t>
      </w:r>
      <w:r w:rsidRPr="00D70197">
        <w:rPr>
          <w:rFonts w:cs="Arial"/>
          <w:sz w:val="22"/>
          <w:szCs w:val="22"/>
        </w:rPr>
        <w:t>(RLM).</w:t>
      </w:r>
      <w:r w:rsidR="000F5B04" w:rsidRPr="00D70197">
        <w:rPr>
          <w:rFonts w:cs="Arial"/>
          <w:sz w:val="22"/>
          <w:szCs w:val="22"/>
        </w:rPr>
        <w:t xml:space="preserve"> </w:t>
      </w:r>
      <w:r w:rsidR="00991B27" w:rsidRPr="00B2400A">
        <w:rPr>
          <w:rFonts w:cs="Arial"/>
          <w:sz w:val="22"/>
          <w:szCs w:val="22"/>
        </w:rPr>
        <w:t xml:space="preserve">Der Netzbetreiber bestimmt, welches Standardlastprofilverfahren und welche Standardlastprofile zur Anwendung kommen. 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p>
    <w:p w14:paraId="10E8644B" w14:textId="77777777" w:rsidR="000E0C0D" w:rsidRPr="00B2400A" w:rsidRDefault="000E0C0D" w:rsidP="00D85678">
      <w:pPr>
        <w:numPr>
          <w:ilvl w:val="0"/>
          <w:numId w:val="14"/>
        </w:numPr>
        <w:spacing w:before="120" w:after="120" w:line="240" w:lineRule="atLeast"/>
        <w:ind w:hanging="357"/>
        <w:jc w:val="both"/>
        <w:rPr>
          <w:rFonts w:cs="Arial"/>
          <w:sz w:val="22"/>
          <w:szCs w:val="22"/>
        </w:rPr>
      </w:pP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GeLi Gas vom Netzbetreiber mitgeteilt. Der Transportkunde kann unplausiblen </w:t>
      </w:r>
      <w:bookmarkStart w:id="15" w:name="OLE_LINK2"/>
      <w:bookmarkStart w:id="16" w:name="OLE_LINK3"/>
      <w:r w:rsidRPr="00B2400A">
        <w:rPr>
          <w:rFonts w:cs="Arial"/>
          <w:sz w:val="22"/>
          <w:szCs w:val="22"/>
        </w:rPr>
        <w:t>Lastprofilzuordnung</w:t>
      </w:r>
      <w:bookmarkEnd w:id="15"/>
      <w:bookmarkEnd w:id="16"/>
      <w:r w:rsidRPr="00B2400A">
        <w:rPr>
          <w:rFonts w:cs="Arial"/>
          <w:sz w:val="22"/>
          <w:szCs w:val="22"/>
        </w:rPr>
        <w:t>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p>
    <w:p w14:paraId="3E5C464C" w14:textId="77777777" w:rsidR="000E0C0D" w:rsidRPr="00B2400A" w:rsidRDefault="000E0C0D" w:rsidP="00FC49F6">
      <w:pPr>
        <w:numPr>
          <w:ilvl w:val="0"/>
          <w:numId w:val="14"/>
        </w:numPr>
        <w:spacing w:after="120" w:line="240" w:lineRule="atLeast"/>
        <w:ind w:hanging="357"/>
        <w:jc w:val="both"/>
        <w:rPr>
          <w:rFonts w:cs="Arial"/>
          <w:sz w:val="22"/>
          <w:szCs w:val="22"/>
        </w:rPr>
      </w:pPr>
      <w:r w:rsidRPr="00B2400A">
        <w:rPr>
          <w:rFonts w:cs="Arial"/>
          <w:sz w:val="22"/>
          <w:szCs w:val="22"/>
        </w:rPr>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14:paraId="75019C29" w14:textId="77777777" w:rsidR="00B2400A" w:rsidRDefault="000E0C0D" w:rsidP="00FC49F6">
      <w:pPr>
        <w:numPr>
          <w:ilvl w:val="0"/>
          <w:numId w:val="14"/>
        </w:numPr>
        <w:spacing w:before="120" w:after="120" w:line="240" w:lineRule="atLeast"/>
        <w:ind w:left="708" w:hanging="357"/>
        <w:jc w:val="both"/>
        <w:rPr>
          <w:rFonts w:cs="Arial"/>
          <w:sz w:val="22"/>
          <w:szCs w:val="22"/>
        </w:rPr>
      </w:pPr>
      <w:r w:rsidRPr="00B2400A">
        <w:rPr>
          <w:rFonts w:cs="Arial"/>
          <w:sz w:val="22"/>
          <w:szCs w:val="22"/>
        </w:rPr>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Namen Fallgruppenwechsel für RLM-Ausspeisepunkte gemäß GeLi Gas durch eine bilanzierungsrelevante Stammdatenänderung oder durch Anmeldung Lieferbeginn durchzuführen. </w:t>
      </w:r>
      <w:r w:rsidRPr="008E6056">
        <w:rPr>
          <w:rFonts w:cs="Arial"/>
          <w:sz w:val="22"/>
          <w:szCs w:val="22"/>
        </w:rPr>
        <w:t>Der Netzbetreiber behält sich vor, in begründeten Einzelfällen die Vorlage der Vollmacht des Bilanzkreisverantwortlichen zu verlangen.</w:t>
      </w:r>
      <w:r w:rsidRPr="008E6056">
        <w:rPr>
          <w:rFonts w:cs="Arial"/>
          <w:sz w:val="22"/>
          <w:szCs w:val="22"/>
          <w:rtl/>
        </w:rPr>
        <w:t xml:space="preserve"> </w:t>
      </w:r>
      <w:r w:rsidRPr="008E6056">
        <w:rPr>
          <w:rFonts w:cs="Arial"/>
          <w:sz w:val="22"/>
          <w:szCs w:val="22"/>
        </w:rPr>
        <w:t>Hierzu genügt in der Regel die Übersendung einer Kopie der Vollmachtsurkunde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p>
    <w:p w14:paraId="59D0C6D5" w14:textId="77777777"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r w:rsidR="00CE00F5" w:rsidRPr="00313129">
        <w:rPr>
          <w:rFonts w:cs="Arial"/>
          <w:sz w:val="22"/>
          <w:szCs w:val="22"/>
        </w:rPr>
        <w:t>1</w:t>
      </w:r>
      <w:r w:rsidRPr="002D2464">
        <w:rPr>
          <w:rFonts w:cs="Arial"/>
          <w:sz w:val="22"/>
          <w:szCs w:val="22"/>
        </w:rPr>
        <w:t xml:space="preserve">h-Messperiode </w:t>
      </w:r>
      <w:r w:rsidR="00463466" w:rsidRPr="002D2464">
        <w:rPr>
          <w:rFonts w:cs="Arial"/>
          <w:sz w:val="22"/>
          <w:szCs w:val="22"/>
        </w:rPr>
        <w:t xml:space="preserve">bei Ausspeisepunkten </w:t>
      </w:r>
      <w:r w:rsidRPr="002D2464">
        <w:rPr>
          <w:rFonts w:cs="Arial"/>
          <w:sz w:val="22"/>
          <w:szCs w:val="22"/>
        </w:rPr>
        <w:t xml:space="preserve">mit RLM verwendet der Netzbetreiber die ausgelesenen und aufbereiteten Zeitreihen. </w:t>
      </w:r>
    </w:p>
    <w:p w14:paraId="3968AF9F" w14:textId="77777777" w:rsidR="00261427" w:rsidRPr="00010243" w:rsidRDefault="00261427" w:rsidP="00680081">
      <w:pPr>
        <w:pStyle w:val="berschrift3"/>
        <w:jc w:val="both"/>
        <w:rPr>
          <w:sz w:val="22"/>
          <w:szCs w:val="22"/>
        </w:rPr>
      </w:pPr>
      <w:bookmarkStart w:id="17" w:name="_Toc446244936"/>
      <w:bookmarkStart w:id="18" w:name="_Toc99480696"/>
      <w:r w:rsidRPr="007B1770">
        <w:rPr>
          <w:sz w:val="22"/>
          <w:szCs w:val="22"/>
        </w:rPr>
        <w:t xml:space="preserve">§ </w:t>
      </w:r>
      <w:r w:rsidR="005D62CA">
        <w:rPr>
          <w:sz w:val="22"/>
          <w:szCs w:val="22"/>
        </w:rPr>
        <w:t>7</w:t>
      </w:r>
      <w:r w:rsidRPr="007B1770">
        <w:rPr>
          <w:sz w:val="22"/>
          <w:szCs w:val="22"/>
        </w:rPr>
        <w:t xml:space="preserve"> </w:t>
      </w:r>
      <w:bookmarkEnd w:id="17"/>
      <w:r w:rsidR="00EE43E3">
        <w:rPr>
          <w:sz w:val="22"/>
          <w:szCs w:val="22"/>
        </w:rPr>
        <w:t>Messstellenbetrieb</w:t>
      </w:r>
      <w:bookmarkEnd w:id="18"/>
    </w:p>
    <w:p w14:paraId="0026433A" w14:textId="57F78957"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 xml:space="preserve">Der Messstellenbetrieb </w:t>
      </w:r>
      <w:r w:rsidR="005739CE">
        <w:rPr>
          <w:rFonts w:cs="Arial"/>
          <w:sz w:val="22"/>
          <w:szCs w:val="22"/>
        </w:rPr>
        <w:t>ist</w:t>
      </w:r>
      <w:r w:rsidR="005739CE" w:rsidRPr="003A2313">
        <w:rPr>
          <w:rFonts w:cs="Arial"/>
          <w:sz w:val="22"/>
          <w:szCs w:val="22"/>
        </w:rPr>
        <w:t xml:space="preserve"> </w:t>
      </w:r>
      <w:r w:rsidRPr="003A2313">
        <w:rPr>
          <w:rFonts w:cs="Arial"/>
          <w:sz w:val="22"/>
          <w:szCs w:val="22"/>
        </w:rPr>
        <w:t xml:space="preserve">Aufgabe des Netzbetreibers, soweit nicht ein </w:t>
      </w:r>
      <w:r w:rsidR="005739CE">
        <w:rPr>
          <w:rFonts w:cs="Arial"/>
          <w:sz w:val="22"/>
          <w:szCs w:val="22"/>
        </w:rPr>
        <w:t>Dritter den Messstellenbetrieb durchführt.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Messstellenbetreiber 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 xml:space="preserve">Er bestätigt hiermit insoweit die Erfüllung dieser Verpflichtungen nach § 33 Abs. 2 </w:t>
      </w:r>
      <w:r w:rsidR="00A309FF">
        <w:rPr>
          <w:sz w:val="22"/>
          <w:szCs w:val="22"/>
        </w:rPr>
        <w:t>Mess- und Eichgesetz (</w:t>
      </w:r>
      <w:r w:rsidR="0007290C" w:rsidRPr="00D70197">
        <w:rPr>
          <w:sz w:val="22"/>
          <w:szCs w:val="22"/>
        </w:rPr>
        <w:t>MessEG</w:t>
      </w:r>
      <w:r w:rsidR="00A309FF">
        <w:rPr>
          <w:sz w:val="22"/>
          <w:szCs w:val="22"/>
        </w:rPr>
        <w:t>)</w:t>
      </w:r>
      <w:r w:rsidRPr="00D70197">
        <w:rPr>
          <w:rFonts w:cs="Arial"/>
          <w:sz w:val="22"/>
          <w:szCs w:val="22"/>
        </w:rPr>
        <w:t>.</w:t>
      </w:r>
      <w:r w:rsidR="0007290C" w:rsidRPr="00EB2953">
        <w:rPr>
          <w:rFonts w:cs="Arial"/>
          <w:sz w:val="22"/>
          <w:szCs w:val="22"/>
        </w:rPr>
        <w:t xml:space="preserve"> </w:t>
      </w:r>
    </w:p>
    <w:p w14:paraId="56EDC117" w14:textId="33DF6A1E"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Es ist Aufgabe des Netzbetreibers</w:t>
      </w:r>
      <w:r w:rsidRPr="00ED2C70">
        <w:rPr>
          <w:rFonts w:cs="Arial"/>
          <w:sz w:val="22"/>
          <w:szCs w:val="22"/>
        </w:rPr>
        <w:t xml:space="preserve">, </w:t>
      </w:r>
      <w:r w:rsidR="00E13DA5">
        <w:rPr>
          <w:rFonts w:cs="Arial"/>
          <w:sz w:val="22"/>
          <w:szCs w:val="22"/>
        </w:rPr>
        <w:t xml:space="preserve">jeder </w:t>
      </w:r>
      <w:r w:rsidR="00F737BC" w:rsidRPr="00E16D9B">
        <w:rPr>
          <w:rFonts w:cs="Arial"/>
          <w:sz w:val="22"/>
          <w:szCs w:val="22"/>
        </w:rPr>
        <w:t>Marktlokation und Messlokation</w:t>
      </w:r>
      <w:r w:rsidR="006540BC" w:rsidRPr="00C45BAB">
        <w:rPr>
          <w:rFonts w:cs="Arial"/>
          <w:sz w:val="22"/>
          <w:szCs w:val="22"/>
        </w:rPr>
        <w:t xml:space="preserve"> </w:t>
      </w:r>
      <w:r w:rsidR="00E13DA5" w:rsidRPr="00390D0D">
        <w:rPr>
          <w:rFonts w:cs="Arial"/>
          <w:sz w:val="22"/>
          <w:szCs w:val="22"/>
        </w:rPr>
        <w:t>in seinem Netz eine eindeutige</w:t>
      </w:r>
      <w:r w:rsidR="00E13DA5">
        <w:rPr>
          <w:rFonts w:cs="Arial"/>
          <w:sz w:val="22"/>
          <w:szCs w:val="22"/>
        </w:rPr>
        <w:t xml:space="preserve"> </w:t>
      </w:r>
      <w:r w:rsidR="00E13DA5" w:rsidRPr="00390D0D">
        <w:rPr>
          <w:rFonts w:cs="Arial"/>
          <w:sz w:val="22"/>
          <w:szCs w:val="22"/>
        </w:rPr>
        <w:t xml:space="preserve">Identifikationsnummer zuzuordnen und diese </w:t>
      </w:r>
      <w:r w:rsidR="006540BC" w:rsidRPr="00C45BAB">
        <w:rPr>
          <w:rFonts w:cs="Arial"/>
          <w:sz w:val="22"/>
          <w:szCs w:val="22"/>
        </w:rPr>
        <w:t>zu verwalten</w:t>
      </w:r>
      <w:r w:rsidR="005739CE">
        <w:rPr>
          <w:rFonts w:cs="Arial"/>
          <w:sz w:val="22"/>
          <w:szCs w:val="22"/>
        </w:rPr>
        <w:t xml:space="preserve"> und </w:t>
      </w:r>
      <w:r w:rsidR="006540BC" w:rsidRPr="00C45BAB">
        <w:rPr>
          <w:rFonts w:cs="Arial"/>
          <w:sz w:val="22"/>
          <w:szCs w:val="22"/>
        </w:rPr>
        <w:t xml:space="preserve">die </w:t>
      </w:r>
      <w:r w:rsidRPr="00C45BAB">
        <w:rPr>
          <w:rFonts w:cs="Arial"/>
          <w:sz w:val="22"/>
          <w:szCs w:val="22"/>
        </w:rPr>
        <w:t>abrechnungsrelevanten Messwerte zu verarbeiten, aufzubereiten und an die berechtigten Stellen weiterzuleiten.</w:t>
      </w:r>
      <w:r w:rsidR="00463438">
        <w:rPr>
          <w:rFonts w:cs="Arial"/>
          <w:sz w:val="22"/>
          <w:szCs w:val="22"/>
        </w:rPr>
        <w:t xml:space="preserve"> </w:t>
      </w:r>
      <w:r w:rsidR="00463438" w:rsidRPr="00951836">
        <w:rPr>
          <w:rFonts w:cs="Arial"/>
          <w:sz w:val="22"/>
          <w:szCs w:val="22"/>
        </w:rPr>
        <w:t>Die einmal zugeordneten</w:t>
      </w:r>
      <w:r w:rsidR="00463438">
        <w:rPr>
          <w:rFonts w:cs="Arial"/>
          <w:sz w:val="22"/>
          <w:szCs w:val="22"/>
        </w:rPr>
        <w:t xml:space="preserve"> </w:t>
      </w:r>
      <w:r w:rsidR="00463438" w:rsidRPr="00951836">
        <w:rPr>
          <w:rFonts w:cs="Arial"/>
          <w:sz w:val="22"/>
          <w:szCs w:val="22"/>
        </w:rPr>
        <w:t>Identifikationsnummern sind unveränderlich.</w:t>
      </w:r>
    </w:p>
    <w:p w14:paraId="7A1571F6" w14:textId="77777777"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t>Die</w:t>
      </w:r>
      <w:r w:rsidR="00A91E1D">
        <w:rPr>
          <w:rFonts w:cs="Arial"/>
          <w:sz w:val="22"/>
          <w:szCs w:val="22"/>
        </w:rPr>
        <w:t xml:space="preserve"> vom Netzbetreiber bzw. einem Dritten im Sinne von </w:t>
      </w:r>
      <w:r w:rsidR="00491555">
        <w:rPr>
          <w:rFonts w:cs="Arial"/>
          <w:sz w:val="22"/>
          <w:szCs w:val="22"/>
        </w:rPr>
        <w:t xml:space="preserve">§ 5 MsbG </w:t>
      </w:r>
      <w:r w:rsidR="00A91E1D">
        <w:rPr>
          <w:rFonts w:cs="Arial"/>
          <w:sz w:val="22"/>
          <w:szCs w:val="22"/>
        </w:rPr>
        <w:t>ermittelten</w:t>
      </w:r>
      <w:r w:rsidRPr="00CB4860">
        <w:rPr>
          <w:rFonts w:cs="Arial"/>
          <w:sz w:val="22"/>
          <w:szCs w:val="22"/>
        </w:rPr>
        <w:t xml:space="preserve"> Messwerte bilden die Grundlage für die Bilanzierung sowie für die Abrechnung der Netznutzung</w:t>
      </w:r>
      <w:r w:rsidR="00960B5C">
        <w:rPr>
          <w:rFonts w:cs="Arial"/>
          <w:sz w:val="22"/>
          <w:szCs w:val="22"/>
        </w:rPr>
        <w:t>.</w:t>
      </w:r>
      <w:r w:rsidR="00B2400A">
        <w:rPr>
          <w:rFonts w:cs="Arial"/>
          <w:sz w:val="22"/>
          <w:szCs w:val="22"/>
        </w:rPr>
        <w:t xml:space="preserve"> </w:t>
      </w:r>
    </w:p>
    <w:p w14:paraId="23C1D418" w14:textId="1CF6C04A"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 xml:space="preserve">Ersatzwerte </w:t>
      </w:r>
      <w:r w:rsidR="00804AD0">
        <w:rPr>
          <w:rFonts w:cs="Arial"/>
          <w:sz w:val="22"/>
          <w:szCs w:val="22"/>
        </w:rPr>
        <w:t xml:space="preserve">werden </w:t>
      </w:r>
      <w:r w:rsidRPr="009E216F">
        <w:rPr>
          <w:rFonts w:cs="Arial"/>
          <w:sz w:val="22"/>
          <w:szCs w:val="22"/>
        </w:rPr>
        <w:t>nach den allgemein anerkannten Regeln der Technik gebildet. Sie sind als solche zu kennzeichnen.</w:t>
      </w:r>
    </w:p>
    <w:p w14:paraId="5DF25B95" w14:textId="413BA3FC"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r w:rsidR="00A43C23" w:rsidRPr="00701BD5">
        <w:rPr>
          <w:rFonts w:cs="Arial"/>
          <w:sz w:val="22"/>
          <w:szCs w:val="22"/>
        </w:rPr>
        <w:t>Transportkunden</w:t>
      </w:r>
      <w:r w:rsidR="00A43C23" w:rsidRPr="000105D1">
        <w:rPr>
          <w:rFonts w:cs="Arial"/>
          <w:sz w:val="22"/>
          <w:szCs w:val="22"/>
        </w:rPr>
        <w:t xml:space="preserve"> </w:t>
      </w:r>
      <w:r w:rsidRPr="00AE6675">
        <w:rPr>
          <w:rFonts w:cs="Arial"/>
          <w:sz w:val="22"/>
          <w:szCs w:val="22"/>
        </w:rPr>
        <w:t>e</w:t>
      </w:r>
      <w:r w:rsidRPr="008A18D5">
        <w:rPr>
          <w:rFonts w:cs="Arial"/>
          <w:sz w:val="22"/>
          <w:szCs w:val="22"/>
        </w:rPr>
        <w:t xml:space="preserve">rfolgt </w:t>
      </w:r>
      <w:r w:rsidR="005A2113">
        <w:rPr>
          <w:rFonts w:cs="Arial"/>
          <w:sz w:val="22"/>
          <w:szCs w:val="22"/>
        </w:rPr>
        <w:t>anlassbezogen</w:t>
      </w:r>
      <w:r w:rsidR="003A6432">
        <w:rPr>
          <w:rFonts w:cs="Arial"/>
          <w:sz w:val="22"/>
          <w:szCs w:val="22"/>
        </w:rPr>
        <w:t xml:space="preserve"> </w:t>
      </w:r>
      <w:r w:rsidRPr="008A18D5">
        <w:rPr>
          <w:rFonts w:cs="Arial"/>
          <w:sz w:val="22"/>
          <w:szCs w:val="22"/>
        </w:rPr>
        <w:t>in den Fallgruppen und Fristen gemäß der</w:t>
      </w:r>
      <w:r w:rsidR="006727B8" w:rsidRPr="008A18D5">
        <w:rPr>
          <w:rFonts w:cs="Arial"/>
          <w:sz w:val="22"/>
          <w:szCs w:val="22"/>
        </w:rPr>
        <w:t xml:space="preserve"> Festlegung </w:t>
      </w:r>
      <w:r w:rsidR="006043BD" w:rsidRPr="00712183">
        <w:rPr>
          <w:rFonts w:cs="Arial"/>
          <w:sz w:val="22"/>
          <w:szCs w:val="22"/>
        </w:rPr>
        <w:t xml:space="preserve">GeLi </w:t>
      </w:r>
      <w:r w:rsidR="00CC450E">
        <w:rPr>
          <w:rFonts w:cs="Arial"/>
          <w:sz w:val="22"/>
          <w:szCs w:val="22"/>
        </w:rPr>
        <w:t xml:space="preserve">Gas </w:t>
      </w:r>
      <w:r w:rsidR="006727B8" w:rsidRPr="00712183">
        <w:rPr>
          <w:rFonts w:cs="Arial"/>
          <w:sz w:val="22"/>
          <w:szCs w:val="22"/>
        </w:rPr>
        <w:t xml:space="preserve">in jeweils geltender Fassung. </w:t>
      </w:r>
      <w:r w:rsidR="006727B8" w:rsidRPr="004408C8">
        <w:rPr>
          <w:rFonts w:cs="Arial"/>
          <w:sz w:val="22"/>
          <w:szCs w:val="22"/>
        </w:rPr>
        <w:t xml:space="preserve">Die Messeinrichtungen für </w:t>
      </w:r>
      <w:r w:rsidR="00CC450E">
        <w:rPr>
          <w:rFonts w:cs="Arial"/>
          <w:sz w:val="22"/>
          <w:szCs w:val="22"/>
        </w:rPr>
        <w:t>Ausspeisepunkte</w:t>
      </w:r>
      <w:r w:rsidR="00CC450E" w:rsidRPr="004408C8">
        <w:rPr>
          <w:rFonts w:cs="Arial"/>
          <w:sz w:val="22"/>
          <w:szCs w:val="22"/>
        </w:rPr>
        <w:t xml:space="preserve"> </w:t>
      </w:r>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r w:rsidR="006A20F6">
        <w:rPr>
          <w:rFonts w:cs="Arial"/>
          <w:sz w:val="22"/>
          <w:szCs w:val="22"/>
        </w:rPr>
        <w:t>Transportkunde</w:t>
      </w:r>
      <w:r w:rsidR="006727B8" w:rsidRPr="00CA38C5">
        <w:rPr>
          <w:rFonts w:cs="Arial"/>
          <w:sz w:val="22"/>
          <w:szCs w:val="22"/>
        </w:rPr>
        <w:t xml:space="preserve"> und Letztverbraucher na</w:t>
      </w:r>
      <w:r w:rsidR="006727B8" w:rsidRPr="007B1770">
        <w:rPr>
          <w:rFonts w:cs="Arial"/>
          <w:sz w:val="22"/>
          <w:szCs w:val="22"/>
        </w:rPr>
        <w:t xml:space="preserve">ch </w:t>
      </w:r>
      <w:r w:rsidR="005A2113">
        <w:rPr>
          <w:rFonts w:cs="Arial"/>
          <w:sz w:val="22"/>
          <w:szCs w:val="22"/>
        </w:rPr>
        <w:t>§ 40b Abs. 1 Satz 1 Nr. 1</w:t>
      </w:r>
      <w:r w:rsidR="005A2113" w:rsidRPr="007B1770">
        <w:rPr>
          <w:rFonts w:cs="Arial"/>
          <w:sz w:val="22"/>
          <w:szCs w:val="22"/>
        </w:rPr>
        <w:t xml:space="preserve"> </w:t>
      </w:r>
      <w:r w:rsidR="006727B8" w:rsidRPr="007B1770">
        <w:rPr>
          <w:rFonts w:cs="Arial"/>
          <w:sz w:val="22"/>
          <w:szCs w:val="22"/>
        </w:rPr>
        <w:t xml:space="preserve">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1A4281">
        <w:rPr>
          <w:rFonts w:cs="Arial"/>
          <w:sz w:val="22"/>
          <w:szCs w:val="22"/>
        </w:rPr>
        <w:t xml:space="preserve">auf Anforderung des </w:t>
      </w:r>
      <w:r w:rsidR="00333461">
        <w:rPr>
          <w:rFonts w:cs="Arial"/>
          <w:sz w:val="22"/>
          <w:szCs w:val="22"/>
        </w:rPr>
        <w:t>Transportkunden</w:t>
      </w:r>
      <w:r w:rsidR="001A4281">
        <w:rPr>
          <w:rFonts w:cs="Arial"/>
          <w:sz w:val="22"/>
          <w:szCs w:val="22"/>
        </w:rPr>
        <w:t xml:space="preserve"> </w:t>
      </w:r>
      <w:r w:rsidR="006727B8" w:rsidRPr="00010243">
        <w:rPr>
          <w:rFonts w:cs="Arial"/>
          <w:sz w:val="22"/>
          <w:szCs w:val="22"/>
        </w:rPr>
        <w:t xml:space="preserve">zu beachten. </w:t>
      </w:r>
      <w:r w:rsidR="00CC450E" w:rsidRPr="008E55A7">
        <w:rPr>
          <w:sz w:val="22"/>
          <w:szCs w:val="22"/>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r w:rsidR="00F072BD">
        <w:rPr>
          <w:sz w:val="22"/>
          <w:szCs w:val="22"/>
        </w:rPr>
        <w:t xml:space="preserve">. </w:t>
      </w:r>
      <w:r w:rsidR="006727B8" w:rsidRPr="00F74946">
        <w:rPr>
          <w:rFonts w:cs="Arial"/>
          <w:sz w:val="22"/>
          <w:szCs w:val="22"/>
        </w:rPr>
        <w:t xml:space="preserve">Die Verwendung rechnerisch abgegrenzter Messwerte kommt nur dann in Betracht, wenn eine Erhebung tatsächlicher Messwerte </w:t>
      </w:r>
      <w:r w:rsidR="006727B8" w:rsidRPr="000C0B9D">
        <w:rPr>
          <w:rFonts w:cs="Arial"/>
          <w:sz w:val="22"/>
          <w:szCs w:val="22"/>
        </w:rPr>
        <w:t>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r w:rsidR="00C76E4D">
        <w:rPr>
          <w:rFonts w:cs="Arial"/>
          <w:sz w:val="22"/>
          <w:szCs w:val="22"/>
        </w:rPr>
        <w:t>Transportkunden</w:t>
      </w:r>
      <w:r w:rsidR="004A5E09" w:rsidRPr="00A870EB">
        <w:rPr>
          <w:rFonts w:cs="Arial"/>
          <w:sz w:val="22"/>
          <w:szCs w:val="22"/>
        </w:rPr>
        <w:t xml:space="preserve"> keine plausiblen Zählerstände </w:t>
      </w: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Ge</w:t>
      </w:r>
      <w:r w:rsidR="001D220B">
        <w:rPr>
          <w:rFonts w:cs="Arial"/>
          <w:sz w:val="22"/>
          <w:szCs w:val="22"/>
        </w:rPr>
        <w:t>L</w:t>
      </w:r>
      <w:r w:rsidR="00C02ACD">
        <w:rPr>
          <w:rFonts w:cs="Arial"/>
          <w:sz w:val="22"/>
          <w:szCs w:val="22"/>
        </w:rPr>
        <w:t xml:space="preserve">i Gas </w:t>
      </w:r>
      <w:r w:rsidR="0083740C" w:rsidRPr="00A870EB">
        <w:rPr>
          <w:rFonts w:cs="Arial"/>
          <w:sz w:val="22"/>
          <w:szCs w:val="22"/>
        </w:rPr>
        <w:t xml:space="preserve">in angemessener Zeit </w:t>
      </w:r>
      <w:r w:rsidR="004A5E09" w:rsidRPr="00397BE0">
        <w:rPr>
          <w:rFonts w:cs="Arial"/>
          <w:sz w:val="22"/>
          <w:szCs w:val="22"/>
        </w:rPr>
        <w:t>übermittelt worden sind</w:t>
      </w:r>
      <w:r w:rsidR="00910CD8">
        <w:rPr>
          <w:rFonts w:cs="Arial"/>
          <w:sz w:val="22"/>
          <w:szCs w:val="22"/>
        </w:rPr>
        <w:t>.</w:t>
      </w:r>
    </w:p>
    <w:p w14:paraId="35B04C2E" w14:textId="280ED0DE" w:rsidR="006727B8" w:rsidRPr="00DC18B8" w:rsidRDefault="00FD49B2" w:rsidP="00FC49F6">
      <w:pPr>
        <w:pStyle w:val="GL2OhneZiffer"/>
        <w:numPr>
          <w:ilvl w:val="0"/>
          <w:numId w:val="15"/>
        </w:numPr>
        <w:spacing w:before="120" w:line="240" w:lineRule="atLeast"/>
        <w:ind w:left="714" w:hanging="357"/>
        <w:jc w:val="both"/>
        <w:rPr>
          <w:szCs w:val="22"/>
        </w:rPr>
      </w:pPr>
      <w:r w:rsidRPr="00EB2953">
        <w:rPr>
          <w:rFonts w:cs="Arial"/>
          <w:szCs w:val="22"/>
        </w:rPr>
        <w:t xml:space="preserve">Die Nachprüfung von Messeinrichtungen sowie das Vorgehen bei Messfehlern erfolgen nach </w:t>
      </w:r>
      <w:r w:rsidR="001A4281">
        <w:rPr>
          <w:rFonts w:cs="Arial"/>
          <w:szCs w:val="22"/>
        </w:rPr>
        <w:t xml:space="preserve">§ 71 MsbG </w:t>
      </w:r>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r w:rsidR="00C76E4D">
        <w:rPr>
          <w:rFonts w:cs="Arial"/>
          <w:szCs w:val="22"/>
        </w:rPr>
        <w:t>Transportkunden</w:t>
      </w:r>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nachzuentrichten</w:t>
      </w:r>
      <w:r w:rsidR="006727B8" w:rsidRPr="003A2313">
        <w:rPr>
          <w:rFonts w:cs="Arial"/>
          <w:szCs w:val="22"/>
        </w:rPr>
        <w:t xml:space="preserve">. </w:t>
      </w:r>
      <w:r w:rsidR="00DC18B8" w:rsidRPr="00090D13">
        <w:rPr>
          <w:szCs w:val="22"/>
        </w:rPr>
        <w:t>Ist die Größe des Fehlers bei der Messeinrichtung eines SLP-Letztverbrauchers nicht einwandfrei festzustellen oder zeigt eine solche Mes</w:t>
      </w:r>
      <w:r w:rsidR="00DC18B8" w:rsidRPr="004C3BF5">
        <w:rPr>
          <w:szCs w:val="22"/>
        </w:rPr>
        <w:t>seinrichtung nicht oder nicht richtig an, so ermittelt der Netzbetreiber den Verbrauch für die Zeit seit der letzten fehlerfreien Ablesung aus dem Durchschnittsverbrauch des ihr vorhergehenden und des der Fest</w:t>
      </w:r>
      <w:r w:rsidR="00DC18B8" w:rsidRPr="0027302A">
        <w:rPr>
          <w:szCs w:val="22"/>
        </w:rPr>
        <w:t>stellung nachfolgenden Ablesezeitraums oder aufgrund des vorjährigen Verbrauchs durch Schätzung. Die tatsächlichen Verhältnisse sind angemessen zu berücksichtigen.</w:t>
      </w:r>
      <w:r w:rsidR="00DC18B8">
        <w:rPr>
          <w:szCs w:val="22"/>
        </w:rPr>
        <w:t xml:space="preserve"> </w:t>
      </w:r>
      <w:r w:rsidR="00DC18B8" w:rsidRPr="004D1999">
        <w:rPr>
          <w:szCs w:val="22"/>
        </w:rPr>
        <w:t>Ist die Größe des Fehlers bei der Messeinrichtung eines RLM-Letztverbrauchers nicht einwandfrei festzustellen oder zeigt eine solche Messe</w:t>
      </w:r>
      <w:r w:rsidR="00DC18B8" w:rsidRPr="00BC3310">
        <w:rPr>
          <w:szCs w:val="22"/>
        </w:rPr>
        <w:t>inrichtung nicht an, so erfolgt die Ermittlung von Ersatzwerten für fehlende oder unplausible Werte entsprechend dem DVGW</w:t>
      </w:r>
      <w:r w:rsidR="00276879">
        <w:rPr>
          <w:szCs w:val="22"/>
        </w:rPr>
        <w:t>-</w:t>
      </w:r>
      <w:r w:rsidR="00DC18B8" w:rsidRPr="00BC3310">
        <w:rPr>
          <w:szCs w:val="22"/>
        </w:rPr>
        <w:t>Arbeitsblatt G 685 in der jeweils gültigen Fassung.</w:t>
      </w:r>
      <w:r w:rsidR="00F072BD">
        <w:rPr>
          <w:rFonts w:cs="Arial"/>
          <w:szCs w:val="22"/>
          <w:vertAlign w:val="superscript"/>
        </w:rPr>
        <w:t xml:space="preserve"> </w:t>
      </w:r>
      <w:r w:rsidR="006727B8" w:rsidRPr="000C0B9D">
        <w:rPr>
          <w:rFonts w:cs="Arial"/>
          <w:szCs w:val="22"/>
        </w:rPr>
        <w:t xml:space="preserve">Ansprüche sind auf den der Feststellung des Fehlers vorausgehenden Ablesezeitraum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14:paraId="47674D83" w14:textId="77777777" w:rsidR="005854E0" w:rsidRPr="005854E0" w:rsidRDefault="005854E0" w:rsidP="00FC49F6">
      <w:pPr>
        <w:numPr>
          <w:ilvl w:val="0"/>
          <w:numId w:val="15"/>
        </w:numPr>
        <w:jc w:val="both"/>
        <w:rPr>
          <w:rFonts w:cs="Arial"/>
          <w:sz w:val="22"/>
          <w:szCs w:val="22"/>
        </w:rPr>
      </w:pPr>
      <w:r w:rsidRPr="005854E0">
        <w:rPr>
          <w:rFonts w:cs="Arial"/>
          <w:sz w:val="22"/>
          <w:szCs w:val="22"/>
        </w:rPr>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p>
    <w:p w14:paraId="61157B65" w14:textId="77777777" w:rsidR="005854E0" w:rsidRPr="00223849" w:rsidRDefault="009E216F" w:rsidP="00FC49F6">
      <w:pPr>
        <w:numPr>
          <w:ilvl w:val="0"/>
          <w:numId w:val="15"/>
        </w:numPr>
        <w:spacing w:before="120" w:line="240" w:lineRule="atLeast"/>
        <w:jc w:val="both"/>
        <w:rPr>
          <w:rFonts w:cs="Arial"/>
          <w:sz w:val="22"/>
          <w:szCs w:val="22"/>
        </w:rPr>
      </w:pPr>
      <w:r w:rsidRPr="009E216F">
        <w:rPr>
          <w:rFonts w:cs="Arial"/>
          <w:sz w:val="22"/>
          <w:szCs w:val="22"/>
        </w:rPr>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14:paraId="102BC59C" w14:textId="5B6F91B7" w:rsidR="005854E0" w:rsidRPr="00223849" w:rsidRDefault="009E216F" w:rsidP="00FC49F6">
      <w:pPr>
        <w:spacing w:before="120" w:line="240" w:lineRule="atLeast"/>
        <w:ind w:left="708"/>
        <w:jc w:val="both"/>
        <w:rPr>
          <w:rFonts w:cs="Arial"/>
          <w:sz w:val="22"/>
          <w:szCs w:val="22"/>
        </w:rPr>
      </w:pPr>
      <w:r w:rsidRPr="009E216F">
        <w:rPr>
          <w:rFonts w:cs="Arial"/>
          <w:sz w:val="22"/>
          <w:szCs w:val="22"/>
        </w:rPr>
        <w:t>Nach Ablauf des Liefermonats werden alle Lastgänge gemäß DVGW</w:t>
      </w:r>
      <w:r w:rsidR="00276879">
        <w:rPr>
          <w:rFonts w:cs="Arial"/>
          <w:sz w:val="22"/>
          <w:szCs w:val="22"/>
        </w:rPr>
        <w:t>-</w:t>
      </w:r>
      <w:r w:rsidRPr="009E216F">
        <w:rPr>
          <w:rFonts w:cs="Arial"/>
          <w:sz w:val="22"/>
          <w:szCs w:val="22"/>
        </w:rPr>
        <w:t>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p>
    <w:p w14:paraId="7A48A512" w14:textId="6235F4BE" w:rsidR="005854E0" w:rsidRPr="00223849" w:rsidRDefault="009E216F" w:rsidP="00FC49F6">
      <w:pPr>
        <w:spacing w:before="120" w:line="240" w:lineRule="atLeast"/>
        <w:ind w:left="720"/>
        <w:jc w:val="both"/>
        <w:rPr>
          <w:rFonts w:cs="Arial"/>
          <w:sz w:val="22"/>
          <w:szCs w:val="22"/>
        </w:rPr>
      </w:pPr>
      <w:r w:rsidRPr="009E216F">
        <w:rPr>
          <w:rFonts w:cs="Arial"/>
          <w:sz w:val="22"/>
          <w:szCs w:val="22"/>
        </w:rPr>
        <w:t>Für den Fall, dass der Netzbetreiber gemäß DVGW</w:t>
      </w:r>
      <w:r w:rsidR="00276879">
        <w:rPr>
          <w:rFonts w:cs="Arial"/>
          <w:sz w:val="22"/>
          <w:szCs w:val="22"/>
        </w:rPr>
        <w:t>-</w:t>
      </w:r>
      <w:r w:rsidRPr="009E216F">
        <w:rPr>
          <w:rFonts w:cs="Arial"/>
          <w:sz w:val="22"/>
          <w:szCs w:val="22"/>
        </w:rPr>
        <w:t xml:space="preserve">Arbeitsblatt G 685 Ersatzwerte gebildet hat, übermittelt er ebenfalls bis M+10 Werktage den Lastgang zusätzlich umgewertet mit dem Bilanzierungsbrennwert. </w:t>
      </w:r>
    </w:p>
    <w:p w14:paraId="4FF1949B" w14:textId="368B22E8" w:rsidR="005854E0" w:rsidRPr="00223849" w:rsidRDefault="009E216F" w:rsidP="000422A4">
      <w:pPr>
        <w:spacing w:before="120" w:line="240" w:lineRule="atLeast"/>
        <w:ind w:left="720"/>
        <w:jc w:val="both"/>
        <w:rPr>
          <w:rFonts w:cs="Arial"/>
          <w:sz w:val="22"/>
          <w:szCs w:val="22"/>
        </w:rPr>
      </w:pPr>
      <w:r w:rsidRPr="009E216F">
        <w:rPr>
          <w:rFonts w:cs="Arial"/>
          <w:sz w:val="22"/>
          <w:szCs w:val="22"/>
        </w:rPr>
        <w:t>In der MSCONS wird der zugrunde gelegte Brennwert und</w:t>
      </w:r>
      <w:r w:rsidR="00276879">
        <w:rPr>
          <w:rFonts w:cs="Arial"/>
          <w:sz w:val="22"/>
          <w:szCs w:val="22"/>
        </w:rPr>
        <w:t>,</w:t>
      </w:r>
      <w:r w:rsidR="00276879">
        <w:rPr>
          <w:rFonts w:cs="Arial"/>
          <w:sz w:val="22"/>
        </w:rPr>
        <w:t xml:space="preserve"> sofern dies nach DVGW-Arbeitsblatt G 685 zur Ermittlung der Energiemenge benötigt wird,</w:t>
      </w:r>
      <w:r w:rsidR="00276879" w:rsidRPr="009E216F">
        <w:rPr>
          <w:rFonts w:cs="Arial"/>
          <w:sz w:val="22"/>
          <w:szCs w:val="22"/>
        </w:rPr>
        <w:t xml:space="preserve"> </w:t>
      </w:r>
      <w:r w:rsidRPr="009E216F">
        <w:rPr>
          <w:rFonts w:cs="Arial"/>
          <w:sz w:val="22"/>
          <w:szCs w:val="22"/>
        </w:rPr>
        <w:t>die Z-Zahl mitgeteilt.</w:t>
      </w:r>
    </w:p>
    <w:p w14:paraId="01DEDBE6" w14:textId="77777777" w:rsidR="005854E0" w:rsidRPr="00223849" w:rsidRDefault="009E216F" w:rsidP="000422A4">
      <w:pPr>
        <w:spacing w:before="120" w:line="240" w:lineRule="atLeast"/>
        <w:ind w:left="720"/>
        <w:jc w:val="both"/>
        <w:rPr>
          <w:rFonts w:cs="Arial"/>
          <w:sz w:val="22"/>
          <w:szCs w:val="22"/>
        </w:rPr>
      </w:pPr>
      <w:r w:rsidRPr="009E216F">
        <w:rPr>
          <w:rFonts w:cs="Arial"/>
          <w:sz w:val="22"/>
          <w:szCs w:val="22"/>
        </w:rPr>
        <w:t xml:space="preserve">Netzbetreiber sind verpflichtet, dem Transportkunden auf </w:t>
      </w:r>
      <w:proofErr w:type="gramStart"/>
      <w:r w:rsidRPr="009E216F">
        <w:rPr>
          <w:rFonts w:cs="Arial"/>
          <w:sz w:val="22"/>
          <w:szCs w:val="22"/>
        </w:rPr>
        <w:t>Anfrage</w:t>
      </w:r>
      <w:proofErr w:type="gramEnd"/>
      <w:r w:rsidRPr="009E216F">
        <w:rPr>
          <w:rFonts w:cs="Arial"/>
          <w:sz w:val="22"/>
          <w:szCs w:val="22"/>
        </w:rPr>
        <w:t xml:space="preserve"> die im Stundentakt erfassten und ausgelesenen Lastgänge an RLM-Ausspeisepunkten zu Letztverbrauchern unverzüglich zu übermitteln.</w:t>
      </w:r>
    </w:p>
    <w:p w14:paraId="5DA6B502" w14:textId="4AFB0001" w:rsidR="005854E0" w:rsidRPr="00223849" w:rsidRDefault="009E216F" w:rsidP="000422A4">
      <w:pPr>
        <w:numPr>
          <w:ilvl w:val="0"/>
          <w:numId w:val="15"/>
        </w:numPr>
        <w:spacing w:before="120" w:line="240" w:lineRule="atLeast"/>
        <w:jc w:val="both"/>
        <w:rPr>
          <w:rFonts w:cs="Arial"/>
          <w:sz w:val="22"/>
          <w:szCs w:val="22"/>
        </w:rPr>
      </w:pPr>
      <w:r w:rsidRPr="009E216F">
        <w:rPr>
          <w:rFonts w:cs="Arial"/>
          <w:sz w:val="22"/>
          <w:szCs w:val="22"/>
        </w:rPr>
        <w:t xml:space="preserve">Für RLM-Ausspeisepunkte erfolgt am Tag M+12 Werktage eine Korrektur des nach Ziffer </w:t>
      </w:r>
      <w:r w:rsidR="00874AE6">
        <w:rPr>
          <w:rFonts w:cs="Arial"/>
          <w:sz w:val="22"/>
          <w:szCs w:val="22"/>
        </w:rPr>
        <w:t>3</w:t>
      </w:r>
      <w:r w:rsidRPr="009E216F">
        <w:rPr>
          <w:rFonts w:cs="Arial"/>
          <w:sz w:val="22"/>
          <w:szCs w:val="22"/>
        </w:rPr>
        <w:t xml:space="preserve"> ermittelten Lastgangs mit dem Abrechnungsbrennwert gemäß DVGW-Arbeitsblatt G 685. Sofern eine Korrektur der K-Zahl nach d</w:t>
      </w:r>
      <w:r w:rsidR="00276879">
        <w:rPr>
          <w:rFonts w:cs="Arial"/>
          <w:sz w:val="22"/>
          <w:szCs w:val="22"/>
        </w:rPr>
        <w:t>ies</w:t>
      </w:r>
      <w:r w:rsidRPr="009E216F">
        <w:rPr>
          <w:rFonts w:cs="Arial"/>
          <w:sz w:val="22"/>
          <w:szCs w:val="22"/>
        </w:rPr>
        <w:t xml:space="preserve">em DVGW-Arbeitsblatt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w:t>
      </w:r>
      <w:r w:rsidR="003A77D4">
        <w:rPr>
          <w:rFonts w:cs="Arial"/>
          <w:sz w:val="22"/>
          <w:szCs w:val="22"/>
        </w:rPr>
        <w:t xml:space="preserve">spätestens </w:t>
      </w:r>
      <w:r w:rsidRPr="009E216F">
        <w:rPr>
          <w:rFonts w:cs="Arial"/>
          <w:sz w:val="22"/>
          <w:szCs w:val="22"/>
        </w:rPr>
        <w:t>am Tag M+12 Werktage an den Marktgebietsverantwortlichen</w:t>
      </w:r>
      <w:r w:rsidR="00CE00F5" w:rsidRPr="00313129">
        <w:rPr>
          <w:rFonts w:cs="Arial"/>
          <w:sz w:val="22"/>
          <w:szCs w:val="22"/>
        </w:rPr>
        <w:t>.</w:t>
      </w:r>
    </w:p>
    <w:p w14:paraId="5F7AFF3E" w14:textId="77777777" w:rsidR="005854E0" w:rsidRDefault="005854E0" w:rsidP="00310880">
      <w:pPr>
        <w:numPr>
          <w:ilvl w:val="0"/>
          <w:numId w:val="15"/>
        </w:numPr>
        <w:spacing w:before="120" w:after="120" w:line="240" w:lineRule="atLeast"/>
        <w:ind w:left="714" w:hanging="357"/>
        <w:jc w:val="both"/>
        <w:rPr>
          <w:rFonts w:cs="Arial"/>
          <w:sz w:val="22"/>
          <w:szCs w:val="22"/>
        </w:rPr>
      </w:pPr>
      <w:r w:rsidRPr="005854E0">
        <w:rPr>
          <w:rFonts w:cs="Arial"/>
          <w:sz w:val="22"/>
          <w:szCs w:val="22"/>
        </w:rPr>
        <w:t xml:space="preserve">Beauftragt der Transportkunde den Netzbetreiber mit einer zusätzlichen Ablesung, ist diese gesondert zu vergüten. </w:t>
      </w:r>
    </w:p>
    <w:p w14:paraId="0C9EE57D" w14:textId="77777777" w:rsidR="005854E0" w:rsidRPr="005854E0" w:rsidRDefault="005854E0" w:rsidP="00FC49F6">
      <w:pPr>
        <w:numPr>
          <w:ilvl w:val="0"/>
          <w:numId w:val="15"/>
        </w:numPr>
        <w:spacing w:before="120" w:line="240" w:lineRule="atLeast"/>
        <w:jc w:val="both"/>
        <w:rPr>
          <w:rFonts w:cs="Arial"/>
          <w:sz w:val="22"/>
          <w:szCs w:val="22"/>
        </w:rPr>
      </w:pPr>
      <w:r w:rsidRPr="005854E0">
        <w:rPr>
          <w:rFonts w:cs="Arial"/>
          <w:sz w:val="22"/>
          <w:szCs w:val="22"/>
        </w:rPr>
        <w:t>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14:paraId="46D69878" w14:textId="77777777" w:rsidR="005854E0" w:rsidRPr="005854E0" w:rsidRDefault="005854E0" w:rsidP="00FC49F6">
      <w:pPr>
        <w:spacing w:before="120" w:line="240" w:lineRule="atLeast"/>
        <w:ind w:left="720"/>
        <w:jc w:val="both"/>
        <w:rPr>
          <w:rFonts w:cs="Arial"/>
          <w:sz w:val="22"/>
          <w:szCs w:val="22"/>
        </w:rPr>
      </w:pPr>
      <w:r w:rsidRPr="005854E0">
        <w:rPr>
          <w:rFonts w:cs="Arial"/>
          <w:sz w:val="22"/>
          <w:szCs w:val="22"/>
        </w:rPr>
        <w:t>Die Kosten des Umbaus einer Standardlastprofilzählung in eine registrierende Leistungsmessung in den zuvor beschriebenen Fällen trägt, soweit nicht abweichend geregelt, der Transportkunde.</w:t>
      </w:r>
    </w:p>
    <w:p w14:paraId="31A405F1" w14:textId="77777777" w:rsidR="005854E0" w:rsidRPr="00397BE0" w:rsidRDefault="005854E0" w:rsidP="000422A4">
      <w:pPr>
        <w:spacing w:before="120" w:line="240" w:lineRule="atLeast"/>
        <w:ind w:left="720"/>
        <w:jc w:val="both"/>
        <w:rPr>
          <w:rFonts w:cs="Arial"/>
          <w:sz w:val="22"/>
          <w:szCs w:val="22"/>
        </w:rPr>
      </w:pPr>
      <w:r w:rsidRPr="005854E0">
        <w:rPr>
          <w:rFonts w:cs="Arial"/>
          <w:sz w:val="22"/>
          <w:szCs w:val="22"/>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r>
        <w:rPr>
          <w:rFonts w:cs="Arial"/>
          <w:sz w:val="22"/>
          <w:szCs w:val="22"/>
        </w:rPr>
        <w:t>.</w:t>
      </w:r>
    </w:p>
    <w:p w14:paraId="7C84B9ED" w14:textId="77777777" w:rsidR="00261427" w:rsidRPr="003A0254" w:rsidRDefault="00261427" w:rsidP="00BF1F3B">
      <w:pPr>
        <w:pStyle w:val="berschrift3"/>
        <w:jc w:val="both"/>
        <w:rPr>
          <w:sz w:val="22"/>
          <w:szCs w:val="22"/>
        </w:rPr>
      </w:pPr>
      <w:bookmarkStart w:id="19" w:name="_Toc446244937"/>
      <w:bookmarkStart w:id="20" w:name="_Toc99480697"/>
      <w:r w:rsidRPr="00CB4860">
        <w:rPr>
          <w:sz w:val="22"/>
          <w:szCs w:val="22"/>
        </w:rPr>
        <w:t xml:space="preserve">§ </w:t>
      </w:r>
      <w:r w:rsidR="005D62CA">
        <w:rPr>
          <w:sz w:val="22"/>
          <w:szCs w:val="22"/>
        </w:rPr>
        <w:t>8</w:t>
      </w:r>
      <w:r w:rsidR="006B29D0">
        <w:rPr>
          <w:sz w:val="22"/>
          <w:szCs w:val="22"/>
        </w:rPr>
        <w:t xml:space="preserve"> </w:t>
      </w:r>
      <w:r w:rsidRPr="00CB4860">
        <w:rPr>
          <w:sz w:val="22"/>
          <w:szCs w:val="22"/>
        </w:rPr>
        <w:t>Entgelte</w:t>
      </w:r>
      <w:bookmarkEnd w:id="19"/>
      <w:bookmarkEnd w:id="20"/>
    </w:p>
    <w:p w14:paraId="0ADDAEF7" w14:textId="77777777"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r w:rsidR="00C76E4D">
        <w:rPr>
          <w:rFonts w:cs="Arial"/>
          <w:sz w:val="22"/>
          <w:szCs w:val="22"/>
        </w:rPr>
        <w:t>Transportkunde</w:t>
      </w:r>
      <w:r w:rsidRPr="00AA39E5">
        <w:rPr>
          <w:rFonts w:cs="Arial"/>
          <w:sz w:val="22"/>
          <w:szCs w:val="22"/>
        </w:rPr>
        <w:t xml:space="preserve"> zahlt für die Leistungen des Netzbetreibers die Entgelte nach Maßgabe der geltenden auf der Internetseite des Netzbetreibers veröffentlichten Preisblätter.</w:t>
      </w: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(GasNEV) gebildet.</w:t>
      </w:r>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r w:rsidR="00C76E4D">
        <w:rPr>
          <w:rFonts w:cs="Arial"/>
          <w:sz w:val="22"/>
          <w:szCs w:val="22"/>
        </w:rPr>
        <w:t>Transportkunden</w:t>
      </w:r>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veranlasste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p>
    <w:p w14:paraId="758DE290" w14:textId="77777777"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er Netzbetreiber</w:t>
      </w:r>
      <w:r w:rsidR="001819C8">
        <w:rPr>
          <w:rFonts w:cs="Arial"/>
          <w:sz w:val="22"/>
          <w:szCs w:val="22"/>
        </w:rPr>
        <w:t>,</w:t>
      </w:r>
      <w:r w:rsidR="00525F0D" w:rsidRPr="00357B9C">
        <w:rPr>
          <w:rFonts w:cs="Arial"/>
          <w:sz w:val="22"/>
          <w:szCs w:val="22"/>
        </w:rPr>
        <w:t xml:space="preserve"> </w:t>
      </w:r>
      <w:r w:rsidR="001819C8" w:rsidRPr="00AB5ACD">
        <w:rPr>
          <w:rFonts w:cs="Arial"/>
          <w:sz w:val="22"/>
          <w:szCs w:val="22"/>
        </w:rPr>
        <w:t>soweit er Messstellenbetreiber</w:t>
      </w:r>
      <w:r w:rsidR="001819C8" w:rsidRPr="00357B9C">
        <w:rPr>
          <w:rFonts w:cs="Arial"/>
          <w:sz w:val="22"/>
          <w:szCs w:val="22"/>
        </w:rPr>
        <w:t xml:space="preserve"> </w:t>
      </w:r>
      <w:r w:rsidR="001819C8">
        <w:rPr>
          <w:rFonts w:cs="Arial"/>
          <w:sz w:val="22"/>
          <w:szCs w:val="22"/>
        </w:rPr>
        <w:t xml:space="preserve">ist, </w:t>
      </w:r>
      <w:r w:rsidR="00525F0D" w:rsidRPr="00357B9C">
        <w:rPr>
          <w:rFonts w:cs="Arial"/>
          <w:sz w:val="22"/>
          <w:szCs w:val="22"/>
        </w:rPr>
        <w:t xml:space="preserve">dem </w:t>
      </w:r>
      <w:r w:rsidR="00C76E4D">
        <w:rPr>
          <w:rFonts w:cs="Arial"/>
          <w:sz w:val="22"/>
          <w:szCs w:val="22"/>
        </w:rPr>
        <w:t>Transportkunden</w:t>
      </w:r>
      <w:r w:rsidR="00525F0D" w:rsidRPr="00357B9C">
        <w:rPr>
          <w:rFonts w:cs="Arial"/>
          <w:sz w:val="22"/>
          <w:szCs w:val="22"/>
        </w:rPr>
        <w:t xml:space="preserve"> für jede</w:t>
      </w:r>
      <w:r w:rsidR="004E45D8" w:rsidRPr="009D4371">
        <w:rPr>
          <w:rFonts w:cs="Arial"/>
          <w:sz w:val="22"/>
          <w:szCs w:val="22"/>
        </w:rPr>
        <w:t>n Ausspeisepunkt</w:t>
      </w:r>
      <w:r w:rsidR="00525F0D" w:rsidRPr="00AB5ACD">
        <w:rPr>
          <w:rFonts w:cs="Arial"/>
          <w:sz w:val="22"/>
          <w:szCs w:val="22"/>
        </w:rPr>
        <w:t xml:space="preserve"> ein Entgelt</w:t>
      </w:r>
      <w:r w:rsidR="00525F0D" w:rsidRPr="00C76E4D">
        <w:rPr>
          <w:rFonts w:cs="Arial"/>
          <w:sz w:val="22"/>
          <w:szCs w:val="22"/>
        </w:rPr>
        <w:t xml:space="preserve"> für den Messstellenbetrieb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14:paraId="5F39AE4A" w14:textId="1A3BFE2F" w:rsidR="007E5236" w:rsidRPr="007B1770" w:rsidRDefault="003E5B1E" w:rsidP="007E5236">
      <w:pPr>
        <w:numPr>
          <w:ilvl w:val="0"/>
          <w:numId w:val="3"/>
        </w:numPr>
        <w:tabs>
          <w:tab w:val="left" w:pos="0"/>
        </w:tabs>
        <w:spacing w:before="120" w:line="240" w:lineRule="atLeast"/>
        <w:jc w:val="both"/>
        <w:rPr>
          <w:rFonts w:cs="Arial"/>
          <w:sz w:val="22"/>
          <w:szCs w:val="22"/>
        </w:rPr>
      </w:pPr>
      <w:r w:rsidRPr="005854E0">
        <w:rPr>
          <w:rFonts w:cs="Arial"/>
          <w:sz w:val="22"/>
          <w:szCs w:val="22"/>
        </w:rPr>
        <w:t>D</w:t>
      </w:r>
      <w:r w:rsidR="006B1F83" w:rsidRPr="00C23464">
        <w:rPr>
          <w:rFonts w:cs="Arial"/>
          <w:sz w:val="22"/>
          <w:szCs w:val="22"/>
        </w:rPr>
        <w:t xml:space="preserve">ie Vereinbarung </w:t>
      </w:r>
      <w:r w:rsidR="00656B41">
        <w:rPr>
          <w:rFonts w:cs="Arial"/>
          <w:sz w:val="22"/>
          <w:szCs w:val="22"/>
        </w:rPr>
        <w:t>gesonderter</w:t>
      </w:r>
      <w:r w:rsidR="00656B41" w:rsidRPr="00CA38C5">
        <w:rPr>
          <w:rFonts w:cs="Arial"/>
          <w:sz w:val="22"/>
          <w:szCs w:val="22"/>
        </w:rPr>
        <w:t xml:space="preserve"> </w:t>
      </w:r>
      <w:r w:rsidR="006B1F83" w:rsidRPr="00CA38C5">
        <w:rPr>
          <w:rFonts w:cs="Arial"/>
          <w:sz w:val="22"/>
          <w:szCs w:val="22"/>
        </w:rPr>
        <w:t xml:space="preserve">Netzentgelte nach </w:t>
      </w: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r w:rsidR="00762296" w:rsidRPr="007B1770">
        <w:rPr>
          <w:rFonts w:cs="Arial"/>
          <w:sz w:val="22"/>
          <w:szCs w:val="22"/>
        </w:rPr>
        <w:t xml:space="preserve">der </w:t>
      </w:r>
      <w:r w:rsidR="003956D2" w:rsidRPr="005854E0">
        <w:rPr>
          <w:rFonts w:cs="Arial"/>
          <w:sz w:val="22"/>
          <w:szCs w:val="22"/>
        </w:rPr>
        <w:t>Gas</w:t>
      </w:r>
      <w:r w:rsidR="003956D2" w:rsidRPr="00C23464">
        <w:rPr>
          <w:rFonts w:cs="Arial"/>
          <w:sz w:val="22"/>
          <w:szCs w:val="22"/>
        </w:rPr>
        <w:t xml:space="preserve">netzentgeltverordnung </w:t>
      </w:r>
      <w:r w:rsidR="00762296" w:rsidRPr="00C23464">
        <w:rPr>
          <w:rFonts w:cs="Arial"/>
          <w:sz w:val="22"/>
          <w:szCs w:val="22"/>
        </w:rPr>
        <w:t>(</w:t>
      </w:r>
      <w:r w:rsidR="003956D2" w:rsidRPr="005854E0">
        <w:rPr>
          <w:rFonts w:cs="Arial"/>
          <w:sz w:val="22"/>
          <w:szCs w:val="22"/>
        </w:rPr>
        <w:t>Gas</w:t>
      </w:r>
      <w:r w:rsidR="006B1F83" w:rsidRPr="00C23464">
        <w:rPr>
          <w:rFonts w:cs="Arial"/>
          <w:sz w:val="22"/>
          <w:szCs w:val="22"/>
        </w:rPr>
        <w:t>NEV</w:t>
      </w:r>
      <w:r w:rsidR="00762296" w:rsidRPr="00CA38C5">
        <w:rPr>
          <w:rFonts w:cs="Arial"/>
          <w:sz w:val="22"/>
          <w:szCs w:val="22"/>
        </w:rPr>
        <w:t>)</w:t>
      </w:r>
      <w:r w:rsidR="006B1F83" w:rsidRPr="007B1770">
        <w:rPr>
          <w:rFonts w:cs="Arial"/>
          <w:sz w:val="22"/>
          <w:szCs w:val="22"/>
        </w:rPr>
        <w:t xml:space="preserve"> </w:t>
      </w:r>
      <w:r w:rsidRPr="005854E0">
        <w:rPr>
          <w:rFonts w:cs="Arial"/>
          <w:sz w:val="22"/>
          <w:szCs w:val="22"/>
        </w:rPr>
        <w:t>ist</w:t>
      </w:r>
      <w:r w:rsidRPr="00C23464">
        <w:rPr>
          <w:rFonts w:cs="Arial"/>
          <w:sz w:val="22"/>
          <w:szCs w:val="22"/>
        </w:rPr>
        <w:t xml:space="preserve"> </w:t>
      </w:r>
      <w:r w:rsidR="007E5236" w:rsidRPr="00C23464">
        <w:rPr>
          <w:rFonts w:cs="Arial"/>
          <w:sz w:val="22"/>
          <w:szCs w:val="22"/>
        </w:rPr>
        <w:t>nicht Gegenstand dieses Vertrages</w:t>
      </w:r>
      <w:r w:rsidR="000C453D">
        <w:rPr>
          <w:rFonts w:cs="Arial"/>
          <w:sz w:val="22"/>
          <w:szCs w:val="22"/>
        </w:rPr>
        <w:t xml:space="preserve"> und ist gesondert zu vereinbaren</w:t>
      </w:r>
      <w:r w:rsidR="007E5236" w:rsidRPr="00C23464">
        <w:rPr>
          <w:rFonts w:cs="Arial"/>
          <w:sz w:val="22"/>
          <w:szCs w:val="22"/>
        </w:rPr>
        <w:t>.</w:t>
      </w:r>
      <w:r w:rsidR="00552D1E" w:rsidRPr="00CA38C5">
        <w:rPr>
          <w:rFonts w:cs="Arial"/>
          <w:sz w:val="22"/>
          <w:szCs w:val="22"/>
        </w:rPr>
        <w:t xml:space="preserve"> </w:t>
      </w:r>
      <w:r w:rsidR="00C73218" w:rsidRPr="000C537D">
        <w:rPr>
          <w:rFonts w:cs="Arial"/>
          <w:sz w:val="22"/>
          <w:szCs w:val="22"/>
        </w:rPr>
        <w:t xml:space="preserve">Die Anwendung von Regelungen zu gesonderten Entgelten kann der Netzbetreiber in den </w:t>
      </w:r>
      <w:r w:rsidR="00117F54">
        <w:rPr>
          <w:rFonts w:cs="Arial"/>
          <w:sz w:val="22"/>
          <w:szCs w:val="22"/>
        </w:rPr>
        <w:t>E</w:t>
      </w:r>
      <w:r w:rsidR="00C73218" w:rsidRPr="000C537D">
        <w:rPr>
          <w:rFonts w:cs="Arial"/>
          <w:sz w:val="22"/>
          <w:szCs w:val="22"/>
        </w:rPr>
        <w:t>rgänzenden Geschäftsbedingungen treffen</w:t>
      </w:r>
      <w:r w:rsidR="006303BE" w:rsidRPr="000C537D">
        <w:rPr>
          <w:rFonts w:cs="Arial"/>
          <w:sz w:val="22"/>
          <w:szCs w:val="22"/>
        </w:rPr>
        <w:t>.</w:t>
      </w:r>
    </w:p>
    <w:p w14:paraId="42E03003" w14:textId="77777777"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14:paraId="2D9EC8D8" w14:textId="77777777"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 xml:space="preserve">Anreizregulierungsverordnung (ARegV)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ARegV sowie </w:t>
      </w:r>
      <w:r w:rsidRPr="00EB2953">
        <w:rPr>
          <w:rFonts w:cs="Arial"/>
          <w:sz w:val="22"/>
          <w:szCs w:val="22"/>
        </w:rPr>
        <w:t xml:space="preserve">des Teils 2, Abschnitte 2 und 3 </w:t>
      </w:r>
      <w:r w:rsidR="003E5B1E" w:rsidRPr="005854E0">
        <w:rPr>
          <w:rFonts w:cs="Arial"/>
          <w:sz w:val="22"/>
          <w:szCs w:val="22"/>
        </w:rPr>
        <w:t>Gas</w:t>
      </w:r>
      <w:r w:rsidR="003E5B1E" w:rsidRPr="00C23464">
        <w:rPr>
          <w:rFonts w:cs="Arial"/>
          <w:sz w:val="22"/>
          <w:szCs w:val="22"/>
        </w:rPr>
        <w:t xml:space="preserve">NEV </w:t>
      </w:r>
      <w:r w:rsidRPr="00CA38C5">
        <w:rPr>
          <w:rFonts w:cs="Arial"/>
          <w:sz w:val="22"/>
          <w:szCs w:val="22"/>
        </w:rPr>
        <w:t xml:space="preserve">anpassen. </w:t>
      </w:r>
    </w:p>
    <w:p w14:paraId="3F8BD392" w14:textId="0A93000F"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 xml:space="preserve">Eine Anpassung der Netzentgelte </w:t>
      </w:r>
      <w:r w:rsidR="00117F54" w:rsidRPr="00EC3A79">
        <w:rPr>
          <w:rFonts w:cs="Arial"/>
          <w:sz w:val="22"/>
          <w:szCs w:val="22"/>
        </w:rPr>
        <w:t xml:space="preserve">sowie der Entgelte für den Messstellenbetrieb </w:t>
      </w:r>
      <w:r w:rsidR="00117F54">
        <w:rPr>
          <w:rFonts w:cs="Arial"/>
          <w:sz w:val="22"/>
          <w:szCs w:val="22"/>
        </w:rPr>
        <w:t xml:space="preserve">und Messung </w:t>
      </w:r>
      <w:r w:rsidR="00117F54" w:rsidRPr="00EC3A79">
        <w:rPr>
          <w:rFonts w:cs="Arial"/>
          <w:sz w:val="22"/>
          <w:szCs w:val="22"/>
        </w:rPr>
        <w:t>auf</w:t>
      </w:r>
      <w:r w:rsidR="00117F54">
        <w:rPr>
          <w:rFonts w:cs="Arial"/>
          <w:sz w:val="22"/>
          <w:szCs w:val="22"/>
        </w:rPr>
        <w:t xml:space="preserve"> </w:t>
      </w:r>
      <w:r w:rsidR="00117F54" w:rsidRPr="00EC3A79">
        <w:rPr>
          <w:rFonts w:cs="Arial"/>
          <w:sz w:val="22"/>
          <w:szCs w:val="22"/>
        </w:rPr>
        <w:t>Grundlage dieses Vertrages</w:t>
      </w:r>
      <w:r w:rsidR="00117F54">
        <w:rPr>
          <w:rFonts w:cs="Arial"/>
          <w:sz w:val="22"/>
          <w:szCs w:val="22"/>
        </w:rPr>
        <w:t xml:space="preserve"> </w:t>
      </w:r>
      <w:r w:rsidRPr="00010243">
        <w:rPr>
          <w:rFonts w:cs="Arial"/>
          <w:sz w:val="22"/>
          <w:szCs w:val="22"/>
        </w:rPr>
        <w:t>erfolgt immer zum 1. Januar eines Kalenderjahres, soweit nicht durch Gesetz, behördliche oder gerichtliche Entscheidung etwas anderes vorgegeben ist.</w:t>
      </w:r>
      <w:r w:rsidR="00E00962">
        <w:rPr>
          <w:rFonts w:cs="Arial"/>
          <w:sz w:val="22"/>
          <w:szCs w:val="22"/>
        </w:rPr>
        <w:t xml:space="preserve"> </w:t>
      </w:r>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w:t>
      </w:r>
      <w:r w:rsidR="00117F54">
        <w:rPr>
          <w:rFonts w:cs="Arial"/>
          <w:sz w:val="22"/>
          <w:szCs w:val="22"/>
        </w:rPr>
        <w:t>E</w:t>
      </w:r>
      <w:r w:rsidRPr="00397BE0">
        <w:rPr>
          <w:rFonts w:cs="Arial"/>
          <w:sz w:val="22"/>
          <w:szCs w:val="22"/>
        </w:rPr>
        <w:t>ntgelte veröffentlicht hat.</w:t>
      </w:r>
    </w:p>
    <w:p w14:paraId="72405E5B" w14:textId="77777777"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t xml:space="preserve">Sollten </w:t>
      </w:r>
      <w:r w:rsidR="002206DF" w:rsidRPr="00D70197">
        <w:rPr>
          <w:rFonts w:cs="Arial"/>
          <w:sz w:val="22"/>
          <w:szCs w:val="22"/>
        </w:rPr>
        <w:t xml:space="preserve">neben den Netzentgelten </w:t>
      </w:r>
      <w:r w:rsidR="00F06785">
        <w:rPr>
          <w:rFonts w:cs="Arial"/>
          <w:sz w:val="22"/>
          <w:szCs w:val="22"/>
        </w:rPr>
        <w:t xml:space="preserve">Steuern, andere öffentlich-rechtliche Abgaben oder sonstige </w:t>
      </w:r>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werden, </w:t>
      </w:r>
      <w:r w:rsidR="002206DF" w:rsidRPr="009E1DEF">
        <w:rPr>
          <w:rFonts w:cs="Arial"/>
          <w:sz w:val="22"/>
          <w:szCs w:val="22"/>
        </w:rPr>
        <w:t>wirkt die Änderung</w:t>
      </w:r>
      <w:r w:rsidRPr="009E1DEF">
        <w:rPr>
          <w:rFonts w:cs="Arial"/>
          <w:sz w:val="22"/>
          <w:szCs w:val="22"/>
        </w:rPr>
        <w:t xml:space="preserve"> mit Wirkung </w:t>
      </w:r>
      <w:proofErr w:type="gramStart"/>
      <w:r w:rsidRPr="009E1DEF">
        <w:rPr>
          <w:rFonts w:cs="Arial"/>
          <w:sz w:val="22"/>
          <w:szCs w:val="22"/>
        </w:rPr>
        <w:t xml:space="preserve">zu dem </w:t>
      </w:r>
      <w:r w:rsidR="002206DF" w:rsidRPr="009E1DEF">
        <w:rPr>
          <w:rFonts w:cs="Arial"/>
          <w:sz w:val="22"/>
          <w:szCs w:val="22"/>
        </w:rPr>
        <w:t xml:space="preserve">gesetzlich oder sonst hoheitlich hierfür vorgesehenen </w:t>
      </w:r>
      <w:r w:rsidRPr="003C48B6">
        <w:rPr>
          <w:rFonts w:cs="Arial"/>
          <w:sz w:val="22"/>
          <w:szCs w:val="22"/>
        </w:rPr>
        <w:t>Zeitpunkt</w:t>
      </w:r>
      <w:proofErr w:type="gramEnd"/>
      <w:r w:rsidR="002206DF" w:rsidRPr="00C45BAB">
        <w:rPr>
          <w:rFonts w:cs="Arial"/>
          <w:sz w:val="22"/>
          <w:szCs w:val="22"/>
        </w:rPr>
        <w:t>.</w:t>
      </w:r>
    </w:p>
    <w:p w14:paraId="2A70AC7D" w14:textId="77777777"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t xml:space="preserve">Der Netzbetreiber informiert den </w:t>
      </w:r>
      <w:r w:rsidR="00C76E4D" w:rsidRPr="004C1BC9">
        <w:rPr>
          <w:rFonts w:cs="Arial"/>
          <w:sz w:val="22"/>
          <w:szCs w:val="22"/>
        </w:rPr>
        <w:t>Transportkunden</w:t>
      </w:r>
      <w:r w:rsidRPr="004C1BC9">
        <w:rPr>
          <w:rFonts w:cs="Arial"/>
          <w:sz w:val="22"/>
          <w:szCs w:val="22"/>
        </w:rPr>
        <w:t xml:space="preserve"> unverzüglich </w:t>
      </w:r>
      <w:r w:rsidR="00D76BD6" w:rsidRPr="004C1BC9">
        <w:rPr>
          <w:rFonts w:cs="Arial"/>
          <w:sz w:val="22"/>
          <w:szCs w:val="22"/>
        </w:rPr>
        <w:t xml:space="preserve">in Textform </w:t>
      </w:r>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r w:rsidR="00FC49F6" w:rsidRPr="004C1BC9">
        <w:rPr>
          <w:rFonts w:cs="Arial"/>
          <w:sz w:val="22"/>
          <w:szCs w:val="22"/>
        </w:rPr>
        <w:t xml:space="preserve">der </w:t>
      </w:r>
      <w:r w:rsidR="004C1BC9" w:rsidRPr="004C1BC9">
        <w:rPr>
          <w:rFonts w:cs="Arial"/>
          <w:sz w:val="22"/>
          <w:szCs w:val="22"/>
        </w:rPr>
        <w:t xml:space="preserve">Einführung </w:t>
      </w:r>
      <w:r w:rsidR="005B0047" w:rsidRPr="004C1BC9">
        <w:rPr>
          <w:rFonts w:cs="Arial"/>
          <w:sz w:val="22"/>
          <w:szCs w:val="22"/>
        </w:rPr>
        <w:t xml:space="preserve">marktweiter </w:t>
      </w:r>
      <w:r w:rsidR="004C1BC9" w:rsidRPr="004C1BC9">
        <w:rPr>
          <w:rFonts w:cs="Arial"/>
          <w:sz w:val="22"/>
          <w:szCs w:val="22"/>
        </w:rPr>
        <w:t xml:space="preserve">von der Bundesnetzagentur konsultierter und veröffentlichter </w:t>
      </w:r>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14:paraId="3F9612C0" w14:textId="77777777"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r w:rsidR="00C76E4D">
        <w:rPr>
          <w:rFonts w:cs="Arial"/>
          <w:sz w:val="22"/>
          <w:szCs w:val="22"/>
        </w:rPr>
        <w:t>Transportkunden</w:t>
      </w:r>
      <w:r w:rsidRPr="007B1770">
        <w:rPr>
          <w:rFonts w:cs="Arial"/>
          <w:sz w:val="22"/>
          <w:szCs w:val="22"/>
        </w:rPr>
        <w:t xml:space="preserve"> die auf die </w:t>
      </w:r>
      <w:r w:rsidR="007E6C06">
        <w:rPr>
          <w:rFonts w:cs="Arial"/>
          <w:sz w:val="22"/>
          <w:szCs w:val="22"/>
        </w:rPr>
        <w:t>Ausspeisung</w:t>
      </w:r>
      <w:r w:rsidR="007E6C06" w:rsidRPr="007B1770">
        <w:rPr>
          <w:rFonts w:cs="Arial"/>
          <w:sz w:val="22"/>
          <w:szCs w:val="22"/>
        </w:rPr>
        <w:t xml:space="preserve"> </w:t>
      </w:r>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nach dem jeweils mit der betreffenden Gemeinde vereinbarten Konzessionsabgabensatz gemäß Konzessionsabgabenverordnung (KAV). </w:t>
      </w:r>
      <w:r w:rsidR="00863964" w:rsidRPr="000C0B9D">
        <w:rPr>
          <w:rFonts w:cs="Arial"/>
          <w:sz w:val="22"/>
          <w:szCs w:val="22"/>
        </w:rPr>
        <w:t xml:space="preserve">Erhebt der </w:t>
      </w:r>
      <w:r w:rsidR="00C76E4D">
        <w:rPr>
          <w:rFonts w:cs="Arial"/>
          <w:sz w:val="22"/>
          <w:szCs w:val="22"/>
        </w:rPr>
        <w:t>Transportkunde</w:t>
      </w:r>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r w:rsidR="00C76E4D">
        <w:rPr>
          <w:rFonts w:cs="Arial"/>
          <w:sz w:val="22"/>
          <w:szCs w:val="22"/>
        </w:rPr>
        <w:t>Transportkunden</w:t>
      </w:r>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Entnahmestelle eine Weiterverteilung im Sinne des § 2 Abs. 8 der </w:t>
      </w:r>
      <w:r w:rsidRPr="00C45BAB">
        <w:rPr>
          <w:rFonts w:cs="Arial"/>
          <w:sz w:val="22"/>
          <w:szCs w:val="22"/>
        </w:rPr>
        <w:t xml:space="preserve">KAV erfolgt und dies dem </w:t>
      </w:r>
      <w:r w:rsidR="00C76E4D">
        <w:rPr>
          <w:rFonts w:cs="Arial"/>
          <w:sz w:val="22"/>
          <w:szCs w:val="22"/>
        </w:rPr>
        <w:t>Transportkunden</w:t>
      </w:r>
      <w:r w:rsidRPr="00C45BAB">
        <w:rPr>
          <w:rFonts w:cs="Arial"/>
          <w:sz w:val="22"/>
          <w:szCs w:val="22"/>
        </w:rPr>
        <w:t xml:space="preserve"> bekannt ist, ist er verpflichtet, dies dem Netzbetreiber mitzuteilen und g</w:t>
      </w:r>
      <w:r w:rsidR="00C178CC">
        <w:rPr>
          <w:rFonts w:cs="Arial"/>
          <w:sz w:val="22"/>
          <w:szCs w:val="22"/>
        </w:rPr>
        <w:t>egebenenfalls</w:t>
      </w:r>
      <w:r w:rsidRPr="00C45BAB">
        <w:rPr>
          <w:rFonts w:cs="Arial"/>
          <w:sz w:val="22"/>
          <w:szCs w:val="22"/>
        </w:rPr>
        <w:t xml:space="preserve"> die erforderlichen Angaben zur Ermittlung der Höhe der auf die Entnahme entfallenden Konzessionsabgabe zur Verfügung zu stellen.</w:t>
      </w:r>
    </w:p>
    <w:p w14:paraId="7B5A1355" w14:textId="7363C46D" w:rsidR="00D716FB" w:rsidRPr="000422A4" w:rsidRDefault="005460CC" w:rsidP="006A0FD9">
      <w:pPr>
        <w:pStyle w:val="Listenabsatz"/>
        <w:numPr>
          <w:ilvl w:val="0"/>
          <w:numId w:val="3"/>
        </w:numPr>
        <w:spacing w:before="120" w:after="120" w:line="240" w:lineRule="atLeast"/>
        <w:contextualSpacing w:val="0"/>
        <w:jc w:val="both"/>
        <w:rPr>
          <w:rFonts w:cs="Arial"/>
          <w:sz w:val="22"/>
          <w:szCs w:val="22"/>
        </w:rPr>
      </w:pP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r w:rsidR="00261427" w:rsidRPr="00310880">
        <w:rPr>
          <w:rFonts w:cs="Arial"/>
          <w:sz w:val="22"/>
          <w:szCs w:val="22"/>
        </w:rPr>
        <w:t>Alle Entgelte unterliegen dem im Liefer- oder Leistungszeitpunkt jeweils gültigen gesetzlichen Umsatzsteuersatz.</w:t>
      </w:r>
      <w:r w:rsidRPr="00310880">
        <w:rPr>
          <w:rFonts w:cs="Arial"/>
          <w:sz w:val="22"/>
          <w:szCs w:val="22"/>
        </w:rPr>
        <w:t xml:space="preserve"> </w:t>
      </w:r>
      <w:r w:rsidR="00D716FB" w:rsidRPr="00310880">
        <w:rPr>
          <w:rFonts w:cs="Arial"/>
          <w:sz w:val="22"/>
          <w:szCs w:val="22"/>
        </w:rPr>
        <w:t xml:space="preserve">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vor. Erfolgt die Abrechnung gemäß § 14 Abs. 2 S. 2 UStG im Gutschriftsverfahren, muss die Abrechnung die Angabe "Gutschrift" enthalten (§ 14 Abs. 4 Nr. 10 UStG)</w:t>
      </w:r>
      <w:r w:rsidR="008F7B0D">
        <w:rPr>
          <w:rFonts w:cs="Arial"/>
          <w:sz w:val="22"/>
          <w:szCs w:val="22"/>
        </w:rPr>
        <w:t>.</w:t>
      </w:r>
    </w:p>
    <w:p w14:paraId="49A49DF0" w14:textId="77777777" w:rsidR="008E6056" w:rsidRPr="00310880" w:rsidRDefault="008E6056" w:rsidP="00310880">
      <w:pPr>
        <w:numPr>
          <w:ilvl w:val="0"/>
          <w:numId w:val="3"/>
        </w:numPr>
        <w:spacing w:before="120" w:after="120" w:line="240" w:lineRule="atLeast"/>
        <w:ind w:left="714" w:hanging="357"/>
        <w:jc w:val="both"/>
        <w:rPr>
          <w:rFonts w:cs="Arial"/>
          <w:sz w:val="22"/>
          <w:szCs w:val="22"/>
        </w:rPr>
      </w:pPr>
      <w:r w:rsidRPr="00310880">
        <w:rPr>
          <w:rFonts w:cs="Arial"/>
          <w:sz w:val="22"/>
          <w:szCs w:val="22"/>
        </w:rPr>
        <w:t xml:space="preserve">Im Falle von erhöhten Entgelten steht dem Transportkunden das Recht zu, den Vertrag mit einer Frist von 10 Werktagen zum Wirksamkeitszeitpunkt der Änderung schriftlich zu kündigen. Sofern die Information nach Ziffer </w:t>
      </w:r>
      <w:r w:rsidR="001042F0" w:rsidRPr="00310880">
        <w:rPr>
          <w:rFonts w:cs="Arial"/>
          <w:sz w:val="22"/>
          <w:szCs w:val="22"/>
        </w:rPr>
        <w:t>8</w:t>
      </w:r>
      <w:r w:rsidRPr="00310880">
        <w:rPr>
          <w:rFonts w:cs="Arial"/>
          <w:sz w:val="22"/>
          <w:szCs w:val="22"/>
        </w:rPr>
        <w:t xml:space="preserve"> Satz </w:t>
      </w:r>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10880">
        <w:rPr>
          <w:rFonts w:cs="Arial"/>
          <w:sz w:val="22"/>
          <w:szCs w:val="22"/>
        </w:rPr>
        <w:t>8</w:t>
      </w:r>
      <w:r w:rsidRPr="00DE3BD5">
        <w:rPr>
          <w:rFonts w:cs="Arial"/>
          <w:sz w:val="22"/>
          <w:szCs w:val="22"/>
        </w:rPr>
        <w:t xml:space="preserve"> Satz </w:t>
      </w:r>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p>
    <w:p w14:paraId="4B4BD5FB" w14:textId="4475EEA7" w:rsidR="001254E7" w:rsidRDefault="008E6056" w:rsidP="00310880">
      <w:pPr>
        <w:numPr>
          <w:ilvl w:val="0"/>
          <w:numId w:val="3"/>
        </w:numPr>
        <w:tabs>
          <w:tab w:val="left" w:pos="0"/>
        </w:tabs>
        <w:spacing w:before="120" w:line="240" w:lineRule="atLeast"/>
        <w:jc w:val="both"/>
        <w:rPr>
          <w:rFonts w:cs="Arial"/>
          <w:sz w:val="22"/>
          <w:szCs w:val="22"/>
        </w:rPr>
      </w:pPr>
      <w:r w:rsidRPr="007C20B9">
        <w:rPr>
          <w:rFonts w:cs="Arial"/>
          <w:sz w:val="22"/>
          <w:szCs w:val="22"/>
        </w:rPr>
        <w:t xml:space="preserve">Im Übrigen kann der Netzbetreiber in </w:t>
      </w:r>
      <w:r w:rsidR="008F7B0D">
        <w:rPr>
          <w:rFonts w:cs="Arial"/>
          <w:sz w:val="22"/>
          <w:szCs w:val="22"/>
        </w:rPr>
        <w:t>E</w:t>
      </w:r>
      <w:r w:rsidRPr="007C20B9">
        <w:rPr>
          <w:rFonts w:cs="Arial"/>
          <w:sz w:val="22"/>
          <w:szCs w:val="22"/>
        </w:rPr>
        <w:t>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p>
    <w:p w14:paraId="375CD733" w14:textId="77777777" w:rsidR="00261427" w:rsidRPr="00903218" w:rsidRDefault="00261427" w:rsidP="00ED1756">
      <w:pPr>
        <w:pStyle w:val="berschrift3"/>
        <w:rPr>
          <w:sz w:val="22"/>
          <w:szCs w:val="22"/>
        </w:rPr>
      </w:pPr>
      <w:bookmarkStart w:id="21" w:name="_Toc446244938"/>
      <w:bookmarkStart w:id="22" w:name="_Toc99480698"/>
      <w:r w:rsidRPr="009E1DEF">
        <w:rPr>
          <w:sz w:val="22"/>
          <w:szCs w:val="22"/>
        </w:rPr>
        <w:t xml:space="preserve">§ </w:t>
      </w:r>
      <w:r w:rsidR="005D62CA">
        <w:rPr>
          <w:sz w:val="22"/>
          <w:szCs w:val="22"/>
        </w:rPr>
        <w:t>9</w:t>
      </w:r>
      <w:r w:rsidR="006B29D0">
        <w:rPr>
          <w:sz w:val="22"/>
          <w:szCs w:val="22"/>
        </w:rPr>
        <w:t xml:space="preserve"> </w:t>
      </w:r>
      <w:r w:rsidR="00C34CC6" w:rsidRPr="009E1DEF">
        <w:rPr>
          <w:sz w:val="22"/>
          <w:szCs w:val="22"/>
        </w:rPr>
        <w:t>Abrechnung, Zahlung und Verzug</w:t>
      </w:r>
      <w:bookmarkEnd w:id="21"/>
      <w:bookmarkEnd w:id="22"/>
      <w:r w:rsidR="000377AD" w:rsidRPr="003C48B6">
        <w:rPr>
          <w:sz w:val="22"/>
          <w:szCs w:val="22"/>
        </w:rPr>
        <w:t xml:space="preserve"> </w:t>
      </w:r>
    </w:p>
    <w:p w14:paraId="7FB89145" w14:textId="7B516723"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r w:rsidR="001C5DF7">
        <w:rPr>
          <w:rFonts w:cs="Arial"/>
          <w:sz w:val="22"/>
          <w:szCs w:val="22"/>
        </w:rPr>
        <w:t>8</w:t>
      </w:r>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r w:rsidR="00532F3D">
        <w:rPr>
          <w:rFonts w:cs="Arial"/>
          <w:sz w:val="22"/>
          <w:szCs w:val="22"/>
        </w:rPr>
        <w:t xml:space="preserve">Ausspeisepunkten </w:t>
      </w:r>
      <w:r w:rsidRPr="003A0254">
        <w:rPr>
          <w:rFonts w:cs="Arial"/>
          <w:sz w:val="22"/>
          <w:szCs w:val="22"/>
        </w:rPr>
        <w:t xml:space="preserve">mit fortlaufend </w:t>
      </w:r>
      <w:r w:rsidRPr="006259FD">
        <w:rPr>
          <w:rFonts w:cs="Arial"/>
          <w:sz w:val="22"/>
          <w:szCs w:val="22"/>
        </w:rPr>
        <w:t xml:space="preserve">registrierender </w:t>
      </w:r>
      <w:r w:rsidR="00D34620" w:rsidRPr="006259FD">
        <w:rPr>
          <w:rFonts w:cs="Arial"/>
          <w:sz w:val="22"/>
          <w:szCs w:val="22"/>
        </w:rPr>
        <w:t xml:space="preserve">1 </w:t>
      </w:r>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w:t>
      </w:r>
      <w:r w:rsidR="00AC6446">
        <w:rPr>
          <w:rFonts w:cs="Arial"/>
          <w:sz w:val="22"/>
          <w:szCs w:val="22"/>
        </w:rPr>
        <w:t xml:space="preserve">mit dem Transportkunden </w:t>
      </w:r>
      <w:r w:rsidRPr="009C5686">
        <w:rPr>
          <w:rFonts w:cs="Arial"/>
          <w:sz w:val="22"/>
          <w:szCs w:val="22"/>
        </w:rPr>
        <w:t>ab.</w:t>
      </w:r>
    </w:p>
    <w:p w14:paraId="66AA0AC9" w14:textId="7CEEAE2F" w:rsidR="00261427" w:rsidRDefault="000422A4" w:rsidP="00D872FF">
      <w:pPr>
        <w:pStyle w:val="Formatvorlage1"/>
        <w:rPr>
          <w:vertAlign w:val="baseline"/>
        </w:rPr>
      </w:pPr>
      <w:r w:rsidRPr="000422A4">
        <w:rPr>
          <w:vertAlign w:val="baseline"/>
        </w:rPr>
        <w:t xml:space="preserve">Der Netzbetreiber legt den Abrechnungszeitraum fest und veröffentlicht </w:t>
      </w:r>
      <w:r w:rsidR="00700277">
        <w:rPr>
          <w:vertAlign w:val="baseline"/>
        </w:rPr>
        <w:t xml:space="preserve">diesen </w:t>
      </w:r>
      <w:r w:rsidRPr="000422A4">
        <w:rPr>
          <w:vertAlign w:val="baseline"/>
        </w:rPr>
        <w:t xml:space="preserve">in seinen </w:t>
      </w:r>
      <w:r w:rsidR="008F7B0D">
        <w:rPr>
          <w:vertAlign w:val="baseline"/>
        </w:rPr>
        <w:t>E</w:t>
      </w:r>
      <w:r w:rsidRPr="000422A4">
        <w:rPr>
          <w:vertAlign w:val="baseline"/>
        </w:rPr>
        <w:t xml:space="preserve">rgänzenden Geschäftsbedingungen. </w:t>
      </w:r>
      <w:r w:rsidR="008F7B0D">
        <w:rPr>
          <w:vertAlign w:val="baseline"/>
        </w:rPr>
        <w:t>Für RLM-Ausspeisepunkte ist der Abrechnungszeitraum das Kalenderjahr.</w:t>
      </w:r>
    </w:p>
    <w:p w14:paraId="4A974AAA" w14:textId="731C5B7F" w:rsidR="00C16BBD" w:rsidRPr="00477D74" w:rsidRDefault="008F7B0D" w:rsidP="00477D74">
      <w:pPr>
        <w:numPr>
          <w:ilvl w:val="0"/>
          <w:numId w:val="4"/>
        </w:numPr>
        <w:spacing w:before="120" w:line="240" w:lineRule="atLeast"/>
        <w:jc w:val="both"/>
        <w:rPr>
          <w:rFonts w:cs="Arial"/>
          <w:sz w:val="22"/>
          <w:szCs w:val="22"/>
        </w:rPr>
      </w:pPr>
      <w:r w:rsidRPr="00904ED3">
        <w:rPr>
          <w:rFonts w:cs="Arial"/>
          <w:sz w:val="22"/>
          <w:szCs w:val="22"/>
        </w:rPr>
        <w:t>Die Netznutzungsabrechnung ist gemäß der Festlegung Ge</w:t>
      </w:r>
      <w:r>
        <w:rPr>
          <w:rFonts w:cs="Arial"/>
          <w:sz w:val="22"/>
          <w:szCs w:val="22"/>
        </w:rPr>
        <w:t>L</w:t>
      </w:r>
      <w:r w:rsidRPr="00904ED3">
        <w:rPr>
          <w:rFonts w:cs="Arial"/>
          <w:sz w:val="22"/>
          <w:szCs w:val="22"/>
        </w:rPr>
        <w:t xml:space="preserve">i Gas in elektronischer Form abzuwickeln, sofern Netzbetreiber oder </w:t>
      </w:r>
      <w:r w:rsidRPr="00E87550">
        <w:rPr>
          <w:rFonts w:cs="Arial"/>
          <w:sz w:val="22"/>
          <w:szCs w:val="22"/>
        </w:rPr>
        <w:t>Transportkunden es verlangen.</w:t>
      </w:r>
      <w:r>
        <w:rPr>
          <w:rFonts w:cs="Arial"/>
          <w:sz w:val="22"/>
          <w:szCs w:val="22"/>
        </w:rPr>
        <w:t xml:space="preserve"> </w:t>
      </w:r>
      <w:r w:rsidRPr="004A50CD">
        <w:rPr>
          <w:rFonts w:cs="Arial"/>
          <w:sz w:val="22"/>
          <w:szCs w:val="22"/>
        </w:rPr>
        <w:t>Kosten für die Unterbrechung und Wiederherstellung der Anschlussnutzung</w:t>
      </w:r>
      <w:r>
        <w:rPr>
          <w:rFonts w:cs="Arial"/>
          <w:sz w:val="22"/>
          <w:szCs w:val="22"/>
        </w:rPr>
        <w:t xml:space="preserve"> sowie</w:t>
      </w:r>
      <w:r w:rsidRPr="004A50CD">
        <w:rPr>
          <w:rFonts w:cs="Arial"/>
          <w:sz w:val="22"/>
          <w:szCs w:val="22"/>
        </w:rPr>
        <w:t xml:space="preserve"> Verzugskosten werden nicht mit der Netznutzungsabrechnung, sondern separat</w:t>
      </w:r>
      <w:r w:rsidR="00B5540E">
        <w:rPr>
          <w:rFonts w:cs="Arial"/>
          <w:sz w:val="22"/>
          <w:szCs w:val="22"/>
        </w:rPr>
        <w:t xml:space="preserve"> und, soweit möglich,</w:t>
      </w:r>
      <w:r w:rsidRPr="004A50CD">
        <w:rPr>
          <w:rFonts w:cs="Arial"/>
          <w:sz w:val="22"/>
          <w:szCs w:val="22"/>
        </w:rPr>
        <w:t xml:space="preserve"> </w:t>
      </w:r>
      <w:r>
        <w:rPr>
          <w:rFonts w:cs="Arial"/>
          <w:sz w:val="22"/>
          <w:szCs w:val="22"/>
        </w:rPr>
        <w:t xml:space="preserve">in elektronischer Form </w:t>
      </w:r>
      <w:r w:rsidRPr="004A50CD">
        <w:rPr>
          <w:rFonts w:cs="Arial"/>
          <w:sz w:val="22"/>
          <w:szCs w:val="22"/>
        </w:rPr>
        <w:t>abgerechnet.</w:t>
      </w:r>
    </w:p>
    <w:p w14:paraId="246CB1A4" w14:textId="77777777"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r w:rsidR="00C475EA" w:rsidRPr="000422A4">
        <w:rPr>
          <w:sz w:val="22"/>
          <w:szCs w:val="22"/>
        </w:rPr>
        <w:t xml:space="preserve">Ausspeisepunkte </w:t>
      </w:r>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r w:rsidR="003D1FDB" w:rsidRPr="00DE1FB2">
        <w:rPr>
          <w:rFonts w:cs="Arial"/>
          <w:sz w:val="22"/>
          <w:szCs w:val="22"/>
        </w:rPr>
        <w:t xml:space="preserve">monatlichen </w:t>
      </w:r>
      <w:r w:rsidR="00206F02" w:rsidRPr="00904ED3">
        <w:rPr>
          <w:rFonts w:cs="Arial"/>
          <w:sz w:val="22"/>
          <w:szCs w:val="22"/>
        </w:rPr>
        <w:t>Netzentgeltes für RLM-</w:t>
      </w:r>
      <w:r w:rsidR="00FA087A" w:rsidRPr="00904ED3">
        <w:rPr>
          <w:rFonts w:cs="Arial"/>
          <w:sz w:val="22"/>
          <w:szCs w:val="22"/>
        </w:rPr>
        <w:t xml:space="preserve">Ausspeisepunkte </w:t>
      </w:r>
      <w:r w:rsidR="00206F02" w:rsidRPr="00904ED3">
        <w:rPr>
          <w:rFonts w:cs="Arial"/>
          <w:sz w:val="22"/>
          <w:szCs w:val="22"/>
        </w:rPr>
        <w:t xml:space="preserve">erfolgt auf Basis </w:t>
      </w:r>
      <w:r w:rsidR="00206F02" w:rsidRPr="00904ED3">
        <w:rPr>
          <w:sz w:val="22"/>
          <w:szCs w:val="22"/>
        </w:rPr>
        <w:t xml:space="preserve">der </w:t>
      </w: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r w:rsidR="00D435E2" w:rsidRPr="000422A4">
        <w:rPr>
          <w:rFonts w:cs="Arial"/>
          <w:sz w:val="22"/>
          <w:szCs w:val="22"/>
        </w:rPr>
        <w:t>.</w:t>
      </w:r>
      <w:r w:rsidR="000422A4" w:rsidRPr="000422A4">
        <w:rPr>
          <w:rFonts w:cs="Arial"/>
          <w:sz w:val="22"/>
          <w:szCs w:val="22"/>
        </w:rPr>
        <w:t xml:space="preserve"> </w:t>
      </w:r>
    </w:p>
    <w:p w14:paraId="78E79447" w14:textId="77777777"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r w:rsidR="00C76E4D">
        <w:rPr>
          <w:sz w:val="22"/>
          <w:szCs w:val="22"/>
        </w:rPr>
        <w:t>Transportkunden</w:t>
      </w:r>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r w:rsidR="007F07A7" w:rsidRPr="001E5BCE">
        <w:rPr>
          <w:sz w:val="22"/>
          <w:szCs w:val="22"/>
        </w:rPr>
        <w:t>Etwaige Umstellungen bei der Abrechnung des Jahresleistungspreises erfolgen stets zum Beginn eines Abrechnungszeitraums.</w:t>
      </w:r>
    </w:p>
    <w:p w14:paraId="67304E5E" w14:textId="6B9D46AB" w:rsidR="00A10E19"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r w:rsidR="0033267A">
        <w:rPr>
          <w:rFonts w:cs="Arial"/>
          <w:sz w:val="22"/>
          <w:szCs w:val="22"/>
        </w:rPr>
        <w:t>Ausspeisepunkte</w:t>
      </w:r>
      <w:r w:rsidR="0033267A" w:rsidRPr="00903218">
        <w:rPr>
          <w:rFonts w:cs="Arial"/>
          <w:sz w:val="22"/>
          <w:szCs w:val="22"/>
        </w:rPr>
        <w:t xml:space="preserve"> </w:t>
      </w:r>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r w:rsidR="0056689B" w:rsidRPr="00822606">
        <w:rPr>
          <w:rFonts w:cs="Arial"/>
          <w:sz w:val="22"/>
          <w:szCs w:val="22"/>
        </w:rPr>
        <w:t>Abrechnungszeitraum</w:t>
      </w:r>
      <w:r w:rsidR="00053D2B" w:rsidRPr="00822606">
        <w:rPr>
          <w:rFonts w:cs="Arial"/>
          <w:sz w:val="22"/>
          <w:szCs w:val="22"/>
        </w:rPr>
        <w:t xml:space="preserve"> erreichte </w:t>
      </w:r>
      <w:r w:rsidR="0056689B" w:rsidRPr="00822606">
        <w:rPr>
          <w:rFonts w:cs="Arial"/>
          <w:sz w:val="22"/>
          <w:szCs w:val="22"/>
        </w:rPr>
        <w:t xml:space="preserve">Maximalleistung </w:t>
      </w:r>
      <w:r w:rsidR="00053D2B" w:rsidRPr="00822606">
        <w:rPr>
          <w:rFonts w:cs="Arial"/>
          <w:sz w:val="22"/>
          <w:szCs w:val="22"/>
        </w:rPr>
        <w:t xml:space="preserve">auftritt, erfolgt in diesem Abrechnungsmonat eine Nachberechnung der Differenz zwischen der bisher berechneten und neuen </w:t>
      </w:r>
      <w:r w:rsidR="0056689B" w:rsidRPr="00822606">
        <w:rPr>
          <w:rFonts w:cs="Arial"/>
          <w:sz w:val="22"/>
          <w:szCs w:val="22"/>
        </w:rPr>
        <w:t xml:space="preserve">Maximalleistung </w:t>
      </w:r>
      <w:r w:rsidR="00053D2B" w:rsidRPr="00822606">
        <w:rPr>
          <w:rFonts w:cs="Arial"/>
          <w:sz w:val="22"/>
          <w:szCs w:val="22"/>
        </w:rPr>
        <w:t>für die vorausgegangenen Monate des aktuellen Abrechnungszeitraums.</w:t>
      </w:r>
      <w:r w:rsidR="00637DA1">
        <w:rPr>
          <w:rFonts w:cs="Arial"/>
          <w:sz w:val="22"/>
          <w:szCs w:val="22"/>
        </w:rPr>
        <w:t xml:space="preserve"> </w:t>
      </w:r>
      <w:r w:rsidR="00637DA1" w:rsidRPr="00F0056A">
        <w:rPr>
          <w:rFonts w:cs="Arial"/>
          <w:sz w:val="22"/>
          <w:szCs w:val="22"/>
        </w:rPr>
        <w:t xml:space="preserve">Auch im Fall eines unterjährigen Wechsels des </w:t>
      </w:r>
      <w:r w:rsidR="00637DA1">
        <w:rPr>
          <w:rFonts w:cs="Arial"/>
          <w:sz w:val="22"/>
          <w:szCs w:val="22"/>
        </w:rPr>
        <w:t>Transportkunden</w:t>
      </w:r>
      <w:r w:rsidR="00637DA1" w:rsidRPr="00F0056A">
        <w:rPr>
          <w:rFonts w:cs="Arial"/>
          <w:sz w:val="22"/>
          <w:szCs w:val="22"/>
        </w:rPr>
        <w:t xml:space="preserve"> stellt der Netzbetreiber die Differenz dem gegenwärtigen </w:t>
      </w:r>
      <w:r w:rsidR="00637DA1">
        <w:rPr>
          <w:rFonts w:cs="Arial"/>
          <w:sz w:val="22"/>
          <w:szCs w:val="22"/>
        </w:rPr>
        <w:t>Transportkunden</w:t>
      </w:r>
      <w:r w:rsidR="00637DA1" w:rsidRPr="00F0056A">
        <w:rPr>
          <w:rFonts w:cs="Arial"/>
          <w:sz w:val="22"/>
          <w:szCs w:val="22"/>
        </w:rPr>
        <w:t xml:space="preserve"> in Rechnung</w:t>
      </w:r>
      <w:r w:rsidR="00637DA1">
        <w:rPr>
          <w:rFonts w:cs="Arial"/>
          <w:sz w:val="22"/>
          <w:szCs w:val="22"/>
        </w:rPr>
        <w:t xml:space="preserve">. </w:t>
      </w:r>
      <w:r w:rsidR="00637DA1" w:rsidRPr="00DB0AD1">
        <w:rPr>
          <w:rFonts w:cs="Arial"/>
          <w:sz w:val="22"/>
          <w:szCs w:val="22"/>
        </w:rPr>
        <w:t xml:space="preserve">Gleiches gilt entsprechend im Fall von Nachberechnungen aufgrund </w:t>
      </w:r>
      <w:r w:rsidR="00637DA1">
        <w:rPr>
          <w:rFonts w:cs="Arial"/>
          <w:sz w:val="22"/>
          <w:szCs w:val="22"/>
        </w:rPr>
        <w:t xml:space="preserve">einer </w:t>
      </w:r>
      <w:r w:rsidR="00637DA1" w:rsidRPr="00DB0AD1">
        <w:rPr>
          <w:rFonts w:cs="Arial"/>
          <w:sz w:val="22"/>
          <w:szCs w:val="22"/>
        </w:rPr>
        <w:t>geänderten Höhe der Konzessionsabgabe.</w:t>
      </w:r>
      <w:r w:rsidR="00637DA1" w:rsidRPr="00637DA1">
        <w:rPr>
          <w:rFonts w:cs="Arial"/>
          <w:sz w:val="22"/>
          <w:szCs w:val="22"/>
        </w:rPr>
        <w:t xml:space="preserve"> </w:t>
      </w:r>
      <w:r w:rsidR="00637DA1" w:rsidRPr="00F83832">
        <w:rPr>
          <w:rFonts w:cs="Arial"/>
          <w:sz w:val="22"/>
          <w:szCs w:val="22"/>
        </w:rPr>
        <w:t>Bei einer Nachberechnung sind die zurückzurechnenden</w:t>
      </w:r>
      <w:r w:rsidR="00637DA1">
        <w:rPr>
          <w:rFonts w:cs="Arial"/>
          <w:sz w:val="22"/>
          <w:szCs w:val="22"/>
        </w:rPr>
        <w:t xml:space="preserve"> </w:t>
      </w:r>
      <w:r w:rsidR="00637DA1" w:rsidRPr="00F83832">
        <w:rPr>
          <w:rFonts w:cs="Arial"/>
          <w:sz w:val="22"/>
          <w:szCs w:val="22"/>
        </w:rPr>
        <w:t>Positionen in einer der ursprünglichen Rechnung entsprechenden Form und</w:t>
      </w:r>
      <w:r w:rsidR="00637DA1" w:rsidRPr="00CA38C5">
        <w:rPr>
          <w:rFonts w:cs="Arial"/>
          <w:sz w:val="22"/>
          <w:szCs w:val="22"/>
        </w:rPr>
        <w:t xml:space="preserve"> </w:t>
      </w:r>
      <w:r w:rsidR="00637DA1" w:rsidRPr="00F83832">
        <w:rPr>
          <w:rFonts w:cs="Arial"/>
          <w:sz w:val="22"/>
          <w:szCs w:val="22"/>
        </w:rPr>
        <w:t xml:space="preserve">Granularität darzustellen. Im Fall einer Fehlerkorrektur gilt </w:t>
      </w:r>
      <w:r w:rsidR="00637DA1">
        <w:rPr>
          <w:rFonts w:cs="Arial"/>
          <w:sz w:val="22"/>
          <w:szCs w:val="22"/>
        </w:rPr>
        <w:t>Ziffer</w:t>
      </w:r>
      <w:r w:rsidR="00637DA1" w:rsidRPr="00F83832">
        <w:rPr>
          <w:rFonts w:cs="Arial"/>
          <w:sz w:val="22"/>
          <w:szCs w:val="22"/>
        </w:rPr>
        <w:t xml:space="preserve"> </w:t>
      </w:r>
      <w:r w:rsidR="008F45AD">
        <w:rPr>
          <w:rFonts w:cs="Arial"/>
          <w:sz w:val="22"/>
          <w:szCs w:val="22"/>
        </w:rPr>
        <w:t>13</w:t>
      </w:r>
      <w:r w:rsidR="00637DA1">
        <w:rPr>
          <w:rFonts w:cs="Arial"/>
          <w:sz w:val="22"/>
          <w:szCs w:val="22"/>
        </w:rPr>
        <w:t>.</w:t>
      </w:r>
    </w:p>
    <w:p w14:paraId="433B5F9D" w14:textId="4883D259"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Wechsels des Anschlussnutzers</w:t>
      </w:r>
      <w:r w:rsidR="008978D9" w:rsidRPr="000C0B9D">
        <w:rPr>
          <w:rFonts w:cs="Arial"/>
          <w:sz w:val="22"/>
          <w:szCs w:val="22"/>
        </w:rPr>
        <w:t xml:space="preserve"> sowie</w:t>
      </w:r>
      <w:r w:rsidR="009066DC" w:rsidRPr="000C0B9D">
        <w:rPr>
          <w:rFonts w:cs="Arial"/>
          <w:sz w:val="22"/>
          <w:szCs w:val="22"/>
        </w:rPr>
        <w:t xml:space="preserve"> der unterjährigen Inbetriebnahme oder Stilllegung eine</w:t>
      </w:r>
      <w:r w:rsidR="00B10E3C" w:rsidRPr="00822606">
        <w:rPr>
          <w:rFonts w:cs="Arial"/>
          <w:sz w:val="22"/>
          <w:szCs w:val="22"/>
        </w:rPr>
        <w:t>s</w:t>
      </w:r>
      <w:r w:rsidR="009066DC" w:rsidRPr="00C23464">
        <w:rPr>
          <w:rFonts w:cs="Arial"/>
          <w:sz w:val="22"/>
          <w:szCs w:val="22"/>
        </w:rPr>
        <w:t xml:space="preserve"> </w:t>
      </w:r>
      <w:r w:rsidR="00B10E3C" w:rsidRPr="00822606">
        <w:rPr>
          <w:rFonts w:cs="Arial"/>
          <w:sz w:val="22"/>
          <w:szCs w:val="22"/>
        </w:rPr>
        <w:t>Ausspeisepunktes</w:t>
      </w:r>
      <w:r w:rsidR="00B10E3C" w:rsidRPr="00C23464">
        <w:rPr>
          <w:rFonts w:cs="Arial"/>
          <w:sz w:val="22"/>
          <w:szCs w:val="22"/>
        </w:rPr>
        <w:t xml:space="preserve"> </w:t>
      </w:r>
      <w:r w:rsidR="008978D9" w:rsidRPr="00C23464">
        <w:rPr>
          <w:rFonts w:cs="Arial"/>
          <w:sz w:val="22"/>
          <w:szCs w:val="22"/>
        </w:rPr>
        <w:t xml:space="preserve">erfolgt die Berechnung des Leistungspreises ungeachtet der vorstehenden </w:t>
      </w:r>
      <w:r w:rsidR="00684541">
        <w:rPr>
          <w:rFonts w:cs="Arial"/>
          <w:sz w:val="22"/>
          <w:szCs w:val="22"/>
        </w:rPr>
        <w:t>Ziffern</w:t>
      </w:r>
      <w:r w:rsidR="00684541" w:rsidRPr="00C23464">
        <w:rPr>
          <w:rFonts w:cs="Arial"/>
          <w:sz w:val="22"/>
          <w:szCs w:val="22"/>
        </w:rPr>
        <w:t xml:space="preserve"> </w:t>
      </w:r>
      <w:r w:rsidR="008978D9" w:rsidRPr="00C23464">
        <w:rPr>
          <w:rFonts w:cs="Arial"/>
          <w:sz w:val="22"/>
          <w:szCs w:val="22"/>
        </w:rPr>
        <w:t xml:space="preserve">anteilig nur unter Berücksichtigung der im Zeitraum der Anschlussnutzung gemessenen </w:t>
      </w:r>
      <w:r w:rsidR="0033267A">
        <w:rPr>
          <w:rFonts w:cs="Arial"/>
          <w:sz w:val="22"/>
          <w:szCs w:val="22"/>
        </w:rPr>
        <w:t>Maximal</w:t>
      </w:r>
      <w:r w:rsidR="0033267A" w:rsidRPr="00C23464">
        <w:rPr>
          <w:rFonts w:cs="Arial"/>
          <w:sz w:val="22"/>
          <w:szCs w:val="22"/>
        </w:rPr>
        <w:t>leistung</w:t>
      </w:r>
      <w:r w:rsidR="00A21D03">
        <w:rPr>
          <w:rFonts w:cs="Arial"/>
          <w:sz w:val="22"/>
          <w:szCs w:val="22"/>
        </w:rPr>
        <w:t>.</w:t>
      </w:r>
    </w:p>
    <w:p w14:paraId="57CFE05A" w14:textId="77EC21DA"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r w:rsidR="004965A8" w:rsidRPr="00904ED3">
        <w:rPr>
          <w:rFonts w:cs="Arial"/>
          <w:sz w:val="22"/>
          <w:szCs w:val="22"/>
        </w:rPr>
        <w:t xml:space="preserve">Ausspeisepunkte </w:t>
      </w:r>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r w:rsidR="004965A8" w:rsidRPr="00E87550">
        <w:rPr>
          <w:rFonts w:cs="Arial"/>
          <w:sz w:val="22"/>
          <w:szCs w:val="22"/>
        </w:rPr>
        <w:t xml:space="preserve">oder zweimonatliche </w:t>
      </w:r>
      <w:r w:rsidR="00AA62AF" w:rsidRPr="00E87550">
        <w:rPr>
          <w:rFonts w:cs="Arial"/>
          <w:sz w:val="22"/>
          <w:szCs w:val="22"/>
        </w:rPr>
        <w:t xml:space="preserve">nachschüssige </w:t>
      </w:r>
      <w:r w:rsidRPr="00E87550">
        <w:rPr>
          <w:rFonts w:cs="Arial"/>
          <w:sz w:val="22"/>
          <w:szCs w:val="22"/>
        </w:rPr>
        <w:t xml:space="preserve">Abschlagszahlungen für die in </w:t>
      </w:r>
      <w:r w:rsidR="00684541">
        <w:rPr>
          <w:rFonts w:cs="Arial"/>
          <w:sz w:val="22"/>
          <w:szCs w:val="22"/>
        </w:rPr>
        <w:t>Ziffer</w:t>
      </w:r>
      <w:r w:rsidRPr="00E87550">
        <w:rPr>
          <w:rFonts w:cs="Arial"/>
          <w:sz w:val="22"/>
          <w:szCs w:val="22"/>
        </w:rPr>
        <w:t xml:space="preserve"> 1 genannten Entgelte zu verlangen.</w:t>
      </w:r>
      <w:r w:rsidR="00685C6D">
        <w:rPr>
          <w:rFonts w:cs="Arial"/>
          <w:sz w:val="22"/>
          <w:szCs w:val="22"/>
        </w:rPr>
        <w:t xml:space="preserve"> </w:t>
      </w:r>
      <w:r w:rsidRPr="00E87550">
        <w:rPr>
          <w:rFonts w:cs="Arial"/>
          <w:sz w:val="22"/>
          <w:szCs w:val="22"/>
        </w:rPr>
        <w:t>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Messstellenbetrieb) können die Vertragspartner auch unterjährig eine Anpassung der Abschlagszahlungen verlangen.</w:t>
      </w:r>
    </w:p>
    <w:p w14:paraId="5CDEC020" w14:textId="77777777"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r w:rsidR="00C76E4D">
        <w:rPr>
          <w:rFonts w:cs="Arial"/>
          <w:sz w:val="22"/>
          <w:szCs w:val="22"/>
        </w:rPr>
        <w:t>Transportkunden</w:t>
      </w:r>
      <w:r w:rsidR="004C7BFB" w:rsidRPr="003C48B6">
        <w:rPr>
          <w:rFonts w:cs="Arial"/>
          <w:sz w:val="22"/>
          <w:szCs w:val="22"/>
        </w:rPr>
        <w:t xml:space="preserve"> gegenüber den betroffenen </w:t>
      </w:r>
      <w:r w:rsidR="004965A8">
        <w:rPr>
          <w:rFonts w:cs="Arial"/>
          <w:sz w:val="22"/>
          <w:szCs w:val="22"/>
        </w:rPr>
        <w:t>Transportkunden</w:t>
      </w:r>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p>
    <w:p w14:paraId="687D66E3" w14:textId="7E9A0B51"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zu leistende Rückerstattungen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r w:rsidR="00C76E4D">
        <w:rPr>
          <w:vertAlign w:val="baseline"/>
        </w:rPr>
        <w:t>Transportkunden</w:t>
      </w:r>
      <w:r w:rsidR="00820CDB" w:rsidRPr="00DF5ECF">
        <w:rPr>
          <w:vertAlign w:val="baseline"/>
        </w:rPr>
        <w:t xml:space="preserve"> bleibt es unbenommen, einen tatsächlich geringeren Verzugsschaden nachzuweisen.</w:t>
      </w:r>
    </w:p>
    <w:p w14:paraId="2DE0F572" w14:textId="53B8E153" w:rsidR="00261427" w:rsidRPr="008205F3" w:rsidRDefault="00261427" w:rsidP="00820CDB">
      <w:pPr>
        <w:pStyle w:val="Formatvorlage1"/>
        <w:rPr>
          <w:vertAlign w:val="baseline"/>
        </w:rPr>
      </w:pPr>
      <w:r w:rsidRPr="00003763">
        <w:rPr>
          <w:vertAlign w:val="baseline"/>
        </w:rPr>
        <w:t>Einwände gegen die Richtigkeit der Rechnung und Abschlagsberechnung berechtigen zum Zahlungsaufschub oder zur Zahlungsverweigerung nur, soweit die ernsthafte Möglich</w:t>
      </w:r>
      <w:r w:rsidRPr="000D4C17">
        <w:rPr>
          <w:vertAlign w:val="baseline"/>
        </w:rPr>
        <w:t xml:space="preserve">keit eines </w:t>
      </w:r>
      <w:r w:rsidR="00F946CF">
        <w:rPr>
          <w:vertAlign w:val="baseline"/>
        </w:rPr>
        <w:t xml:space="preserve">offensichtlichen </w:t>
      </w:r>
      <w:r w:rsidRPr="000D4C17">
        <w:rPr>
          <w:vertAlign w:val="baseline"/>
        </w:rPr>
        <w:t>Fehlers besteht.</w:t>
      </w:r>
    </w:p>
    <w:p w14:paraId="2A34EE3B" w14:textId="77777777"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14:paraId="72D701DC" w14:textId="7E61BE8C" w:rsidR="00261427" w:rsidRPr="000C4E3E" w:rsidRDefault="00261427" w:rsidP="002741F5">
      <w:pPr>
        <w:pStyle w:val="Formatvorlage1"/>
      </w:pPr>
      <w:r w:rsidRPr="00D40172">
        <w:rPr>
          <w:vertAlign w:val="baseline"/>
        </w:rPr>
        <w:t xml:space="preserve">Werden Fehler in der Ermittlung von Rechnungsbeträgen oder in den der Rechnung zugrunde liegenden Daten festgestellt, so ist eine Überzahlung vom Netzbetreiber zu erstatten oder ein Fehlbetrag vom </w:t>
      </w:r>
      <w:r w:rsidR="00C76E4D" w:rsidRPr="00D40172">
        <w:rPr>
          <w:vertAlign w:val="baseline"/>
        </w:rPr>
        <w:t>Transportkunden</w:t>
      </w:r>
      <w:r w:rsidRPr="00D40172">
        <w:rPr>
          <w:vertAlign w:val="baseline"/>
        </w:rPr>
        <w:t xml:space="preserve"> </w:t>
      </w:r>
      <w:r w:rsidRPr="000C4E3E">
        <w:rPr>
          <w:vertAlign w:val="baseline"/>
        </w:rPr>
        <w:t>nachzuentrichten.</w:t>
      </w:r>
      <w:r w:rsidR="002741F5" w:rsidRPr="000C4E3E">
        <w:rPr>
          <w:vertAlign w:val="baseline"/>
        </w:rPr>
        <w:t xml:space="preserve"> </w:t>
      </w:r>
      <w:r w:rsidR="00F946CF" w:rsidRPr="007F0263">
        <w:rPr>
          <w:vertAlign w:val="baseline"/>
        </w:rPr>
        <w:t xml:space="preserve">Die Abwicklung erfolgt grundsätzlich über die Geschäftsprozesse und Datenformate nach Maßgabe der </w:t>
      </w:r>
      <w:r w:rsidR="00F946CF">
        <w:rPr>
          <w:vertAlign w:val="baseline"/>
        </w:rPr>
        <w:t xml:space="preserve">Geli Gas </w:t>
      </w:r>
      <w:r w:rsidR="00F946CF" w:rsidRPr="007F0263">
        <w:rPr>
          <w:vertAlign w:val="baseline"/>
        </w:rPr>
        <w:t>(Storno/Neuberechnung).</w:t>
      </w:r>
      <w:r w:rsidR="00F946CF">
        <w:rPr>
          <w:vertAlign w:val="baseline"/>
        </w:rPr>
        <w:t xml:space="preserve"> </w:t>
      </w:r>
      <w:r w:rsidR="002741F5" w:rsidRPr="000C4E3E">
        <w:rPr>
          <w:vertAlign w:val="baseline"/>
        </w:rPr>
        <w:t>Ansprüche nach Satz 1 sind auf den der Feststellung des Fehlers vorausgehenden Ablesezeitraum beschränkt, es sei denn, die Auswirkung des Fehlers kann über einen größeren Zeitraum festgestellt werden. In diesem</w:t>
      </w:r>
      <w:r w:rsidR="00CB5077" w:rsidRPr="000C4E3E">
        <w:rPr>
          <w:vertAlign w:val="baseline"/>
        </w:rPr>
        <w:t xml:space="preserve"> </w:t>
      </w:r>
      <w:r w:rsidR="002741F5" w:rsidRPr="000C4E3E">
        <w:rPr>
          <w:vertAlign w:val="baseline"/>
        </w:rPr>
        <w:t>Fall ist der Anspruch auf längstens drei Jahre beschränkt.</w:t>
      </w:r>
    </w:p>
    <w:p w14:paraId="3D6F3F65" w14:textId="77777777" w:rsidR="00A96124" w:rsidRPr="00B85278" w:rsidRDefault="003E7CB2" w:rsidP="00B85278">
      <w:pPr>
        <w:pStyle w:val="Formatvorlage1"/>
        <w:rPr>
          <w:vertAlign w:val="baseline"/>
        </w:rPr>
      </w:pPr>
      <w:r>
        <w:rPr>
          <w:vertAlign w:val="baseline"/>
        </w:rPr>
        <w:t>Die Zahlung von Entgelten, Steuern und sonstigen Belastungen nach diesem Vertrag hat durch Überweisung zu erfolgen</w:t>
      </w:r>
      <w:r w:rsidR="00B971EC">
        <w:rPr>
          <w:vertAlign w:val="baseline"/>
        </w:rPr>
        <w:t xml:space="preserve">, </w:t>
      </w:r>
      <w:r w:rsidR="00B971EC" w:rsidRPr="00B971EC">
        <w:rPr>
          <w:rFonts w:eastAsia="Arial"/>
          <w:vertAlign w:val="baseline"/>
        </w:rPr>
        <w:t>s</w:t>
      </w:r>
      <w:r w:rsidR="00B971EC" w:rsidRPr="00B971EC">
        <w:rPr>
          <w:rFonts w:eastAsia="Arial"/>
          <w:spacing w:val="-3"/>
          <w:vertAlign w:val="baseline"/>
        </w:rPr>
        <w:t>o</w:t>
      </w:r>
      <w:r w:rsidR="00B971EC" w:rsidRPr="00B971EC">
        <w:rPr>
          <w:rFonts w:eastAsia="Arial"/>
          <w:spacing w:val="1"/>
          <w:vertAlign w:val="baseline"/>
        </w:rPr>
        <w:t>f</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n</w:t>
      </w:r>
      <w:r w:rsidR="00B971EC" w:rsidRPr="00B971EC">
        <w:rPr>
          <w:rFonts w:eastAsia="Arial"/>
          <w:spacing w:val="2"/>
          <w:vertAlign w:val="baseline"/>
        </w:rPr>
        <w:t xml:space="preserve"> </w:t>
      </w:r>
      <w:r w:rsidR="00B971EC" w:rsidRPr="00B971EC">
        <w:rPr>
          <w:rFonts w:eastAsia="Arial"/>
          <w:vertAlign w:val="baseline"/>
        </w:rPr>
        <w:t>d</w:t>
      </w:r>
      <w:r w:rsidR="00B971EC" w:rsidRPr="00B971EC">
        <w:rPr>
          <w:rFonts w:eastAsia="Arial"/>
          <w:spacing w:val="-1"/>
          <w:vertAlign w:val="baseline"/>
        </w:rPr>
        <w:t>i</w:t>
      </w:r>
      <w:r w:rsidR="00B971EC" w:rsidRPr="00B971EC">
        <w:rPr>
          <w:rFonts w:eastAsia="Arial"/>
          <w:vertAlign w:val="baseline"/>
        </w:rPr>
        <w:t>e</w:t>
      </w:r>
      <w:r w:rsidR="00B971EC" w:rsidRPr="00B971EC">
        <w:rPr>
          <w:rFonts w:eastAsia="Arial"/>
          <w:spacing w:val="4"/>
          <w:vertAlign w:val="baseline"/>
        </w:rPr>
        <w:t xml:space="preserve"> </w:t>
      </w:r>
      <w:r w:rsidR="00B971EC" w:rsidRPr="00B971EC">
        <w:rPr>
          <w:rFonts w:eastAsia="Arial"/>
          <w:spacing w:val="-1"/>
          <w:vertAlign w:val="baseline"/>
        </w:rPr>
        <w:t>P</w:t>
      </w:r>
      <w:r w:rsidR="00B971EC" w:rsidRPr="00B971EC">
        <w:rPr>
          <w:rFonts w:eastAsia="Arial"/>
          <w:vertAlign w:val="baseline"/>
        </w:rPr>
        <w:t>a</w:t>
      </w:r>
      <w:r w:rsidR="00B971EC" w:rsidRPr="00B971EC">
        <w:rPr>
          <w:rFonts w:eastAsia="Arial"/>
          <w:spacing w:val="1"/>
          <w:vertAlign w:val="baseline"/>
        </w:rPr>
        <w:t>rt</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en</w:t>
      </w:r>
      <w:r w:rsidR="00B971EC" w:rsidRPr="00B971EC">
        <w:rPr>
          <w:rFonts w:eastAsia="Arial"/>
          <w:spacing w:val="4"/>
          <w:vertAlign w:val="baseline"/>
        </w:rPr>
        <w:t xml:space="preserve"> </w:t>
      </w:r>
      <w:r w:rsidR="00B971EC" w:rsidRPr="00B971EC">
        <w:rPr>
          <w:rFonts w:eastAsia="Arial"/>
          <w:vertAlign w:val="baseline"/>
        </w:rPr>
        <w:t>n</w:t>
      </w:r>
      <w:r w:rsidR="00B971EC" w:rsidRPr="00B971EC">
        <w:rPr>
          <w:rFonts w:eastAsia="Arial"/>
          <w:spacing w:val="-1"/>
          <w:vertAlign w:val="baseline"/>
        </w:rPr>
        <w:t>i</w:t>
      </w:r>
      <w:r w:rsidR="00B971EC" w:rsidRPr="00B971EC">
        <w:rPr>
          <w:rFonts w:eastAsia="Arial"/>
          <w:vertAlign w:val="baseline"/>
        </w:rPr>
        <w:t>ch</w:t>
      </w:r>
      <w:r w:rsidR="00B971EC" w:rsidRPr="00B971EC">
        <w:rPr>
          <w:rFonts w:eastAsia="Arial"/>
          <w:spacing w:val="1"/>
          <w:vertAlign w:val="baseline"/>
        </w:rPr>
        <w:t>t</w:t>
      </w:r>
      <w:r w:rsidR="00B971EC" w:rsidRPr="00B971EC">
        <w:rPr>
          <w:rFonts w:eastAsia="Arial"/>
          <w:vertAlign w:val="baseline"/>
        </w:rPr>
        <w:t xml:space="preserve">s </w:t>
      </w:r>
      <w:r w:rsidR="00B971EC" w:rsidRPr="00B971EC">
        <w:rPr>
          <w:rFonts w:eastAsia="Arial"/>
          <w:spacing w:val="-1"/>
          <w:vertAlign w:val="baseline"/>
        </w:rPr>
        <w:t>A</w:t>
      </w:r>
      <w:r w:rsidR="00B971EC" w:rsidRPr="00B971EC">
        <w:rPr>
          <w:rFonts w:eastAsia="Arial"/>
          <w:vertAlign w:val="baseline"/>
        </w:rPr>
        <w:t>nde</w:t>
      </w:r>
      <w:r w:rsidR="00B971EC" w:rsidRPr="00B971EC">
        <w:rPr>
          <w:rFonts w:eastAsia="Arial"/>
          <w:spacing w:val="1"/>
          <w:vertAlign w:val="baseline"/>
        </w:rPr>
        <w:t>r</w:t>
      </w:r>
      <w:r w:rsidR="00B971EC" w:rsidRPr="00B971EC">
        <w:rPr>
          <w:rFonts w:eastAsia="Arial"/>
          <w:spacing w:val="-3"/>
          <w:vertAlign w:val="baseline"/>
        </w:rPr>
        <w:t>w</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spacing w:val="1"/>
          <w:vertAlign w:val="baseline"/>
        </w:rPr>
        <w:t>t</w:t>
      </w:r>
      <w:r w:rsidR="00B971EC" w:rsidRPr="00B971EC">
        <w:rPr>
          <w:rFonts w:eastAsia="Arial"/>
          <w:spacing w:val="-1"/>
          <w:vertAlign w:val="baseline"/>
        </w:rPr>
        <w:t>i</w:t>
      </w:r>
      <w:r w:rsidR="00B971EC" w:rsidRPr="00B971EC">
        <w:rPr>
          <w:rFonts w:eastAsia="Arial"/>
          <w:spacing w:val="2"/>
          <w:vertAlign w:val="baseline"/>
        </w:rPr>
        <w:t>g</w:t>
      </w:r>
      <w:r w:rsidR="00B971EC" w:rsidRPr="00B971EC">
        <w:rPr>
          <w:rFonts w:eastAsia="Arial"/>
          <w:vertAlign w:val="baseline"/>
        </w:rPr>
        <w:t xml:space="preserve">es </w:t>
      </w:r>
      <w:r w:rsidR="00B971EC" w:rsidRPr="00B971EC">
        <w:rPr>
          <w:rFonts w:eastAsia="Arial"/>
          <w:spacing w:val="-2"/>
          <w:vertAlign w:val="baseline"/>
        </w:rPr>
        <w:t>v</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nba</w:t>
      </w:r>
      <w:r w:rsidR="00B971EC" w:rsidRPr="00B971EC">
        <w:rPr>
          <w:rFonts w:eastAsia="Arial"/>
          <w:spacing w:val="1"/>
          <w:vertAlign w:val="baseline"/>
        </w:rPr>
        <w:t>r</w:t>
      </w:r>
      <w:r w:rsidR="00B971EC" w:rsidRPr="00B971EC">
        <w:rPr>
          <w:rFonts w:eastAsia="Arial"/>
          <w:vertAlign w:val="baseline"/>
        </w:rPr>
        <w:t>en.</w:t>
      </w:r>
      <w:r>
        <w:rPr>
          <w:vertAlign w:val="baseline"/>
        </w:rPr>
        <w:t xml:space="preserve"> </w:t>
      </w:r>
    </w:p>
    <w:p w14:paraId="6FDFE3E0" w14:textId="77777777" w:rsidR="00DC5D2A" w:rsidRPr="005C2145" w:rsidRDefault="009C5C01" w:rsidP="0084540B">
      <w:pPr>
        <w:pStyle w:val="Formatvorlage1"/>
        <w:rPr>
          <w:vertAlign w:val="baseline"/>
        </w:rPr>
      </w:pPr>
      <w:r w:rsidRPr="009C5C01">
        <w:rPr>
          <w:vertAlign w:val="baseline"/>
        </w:rPr>
        <w:t xml:space="preserve">Der Transportkunde ist verpflichtet, dem Netzbetreiber unverzüglich mitzuteilen, wenn ein Dritter </w:t>
      </w:r>
      <w:r w:rsidR="00D3406E">
        <w:rPr>
          <w:vertAlign w:val="baseline"/>
        </w:rPr>
        <w:t xml:space="preserve">die Entgelte </w:t>
      </w:r>
      <w:r w:rsidRPr="009C5C01">
        <w:rPr>
          <w:vertAlign w:val="baseline"/>
        </w:rPr>
        <w:t>anstelle des Transportkunden zahlt. Der Netzbetreiber ist berechtigt Zahlungen Dritter abzulehnen.</w:t>
      </w:r>
    </w:p>
    <w:p w14:paraId="7B35EE93" w14:textId="54AFD853" w:rsidR="00DD2D9A" w:rsidRDefault="009C5C01" w:rsidP="0084540B">
      <w:pPr>
        <w:pStyle w:val="Formatvorlage1"/>
        <w:rPr>
          <w:vertAlign w:val="baseline"/>
        </w:rPr>
      </w:pPr>
      <w:r w:rsidRPr="009C5C01">
        <w:rPr>
          <w:vertAlign w:val="baseline"/>
        </w:rPr>
        <w:t xml:space="preserve">Weitere Einzelheiten über die Abrechnung der Entgelte kann der Netzbetreiber in </w:t>
      </w:r>
      <w:r w:rsidR="00F946CF">
        <w:rPr>
          <w:vertAlign w:val="baseline"/>
        </w:rPr>
        <w:t>E</w:t>
      </w:r>
      <w:r w:rsidRPr="009C5C01">
        <w:rPr>
          <w:vertAlign w:val="baseline"/>
        </w:rPr>
        <w:t>rgänzenden Geschäftsbedingungen regeln.</w:t>
      </w:r>
    </w:p>
    <w:p w14:paraId="0B3AF918" w14:textId="18B2E41E" w:rsidR="00EB1B32" w:rsidRPr="00EB1B32" w:rsidRDefault="00437EB6" w:rsidP="00EB1B32">
      <w:pPr>
        <w:pStyle w:val="Formatvorlage1"/>
        <w:rPr>
          <w:vertAlign w:val="baseline"/>
        </w:rPr>
      </w:pPr>
      <w:r>
        <w:rPr>
          <w:vertAlign w:val="baseline"/>
        </w:rPr>
        <w:t xml:space="preserve">Ziffer 2 Satz 2 und Ziffer </w:t>
      </w:r>
      <w:r w:rsidR="005A7CB4">
        <w:rPr>
          <w:vertAlign w:val="baseline"/>
        </w:rPr>
        <w:t>6 Sätze 3 und 4 gelten ab dem 01.01.2023. Ziffer 3 Satz 2 gilt ab 01.10.2023.</w:t>
      </w:r>
    </w:p>
    <w:p w14:paraId="5F0E7450" w14:textId="77777777" w:rsidR="00261427" w:rsidRPr="000E0C0D" w:rsidRDefault="00261427" w:rsidP="00361CF2">
      <w:pPr>
        <w:pStyle w:val="berschrift3"/>
        <w:jc w:val="both"/>
        <w:rPr>
          <w:sz w:val="22"/>
          <w:szCs w:val="22"/>
        </w:rPr>
      </w:pPr>
      <w:bookmarkStart w:id="23" w:name="_Toc446244939"/>
      <w:bookmarkStart w:id="24" w:name="_Toc99480699"/>
      <w:r w:rsidRPr="003050A2">
        <w:rPr>
          <w:sz w:val="22"/>
          <w:szCs w:val="22"/>
        </w:rPr>
        <w:t xml:space="preserve">§ </w:t>
      </w:r>
      <w:r w:rsidR="005D62CA">
        <w:rPr>
          <w:sz w:val="22"/>
          <w:szCs w:val="22"/>
        </w:rPr>
        <w:t>10</w:t>
      </w:r>
      <w:r w:rsidR="006B29D0">
        <w:rPr>
          <w:sz w:val="22"/>
          <w:szCs w:val="22"/>
        </w:rPr>
        <w:t xml:space="preserve"> </w:t>
      </w:r>
      <w:r w:rsidR="0001799B" w:rsidRPr="003050A2">
        <w:rPr>
          <w:sz w:val="22"/>
          <w:szCs w:val="22"/>
        </w:rPr>
        <w:t xml:space="preserve">Ausgleich von </w:t>
      </w:r>
      <w:r w:rsidR="0001644F" w:rsidRPr="003050A2">
        <w:rPr>
          <w:sz w:val="22"/>
          <w:szCs w:val="22"/>
        </w:rPr>
        <w:t>SLP-</w:t>
      </w:r>
      <w:r w:rsidR="00F46B55">
        <w:rPr>
          <w:sz w:val="22"/>
          <w:szCs w:val="22"/>
        </w:rPr>
        <w:t>M</w:t>
      </w:r>
      <w:r w:rsidR="0001799B" w:rsidRPr="003050A2">
        <w:rPr>
          <w:sz w:val="22"/>
          <w:szCs w:val="22"/>
        </w:rPr>
        <w:t>ehr-/</w:t>
      </w:r>
      <w:r w:rsidR="005E5415" w:rsidRPr="003050A2">
        <w:rPr>
          <w:sz w:val="22"/>
          <w:szCs w:val="22"/>
        </w:rPr>
        <w:t xml:space="preserve"> </w:t>
      </w:r>
      <w:r w:rsidR="00F46B55">
        <w:rPr>
          <w:sz w:val="22"/>
          <w:szCs w:val="22"/>
        </w:rPr>
        <w:t>M</w:t>
      </w:r>
      <w:r w:rsidR="0001799B" w:rsidRPr="003050A2">
        <w:rPr>
          <w:sz w:val="22"/>
          <w:szCs w:val="22"/>
        </w:rPr>
        <w:t>indermengen</w:t>
      </w:r>
      <w:bookmarkEnd w:id="23"/>
      <w:bookmarkEnd w:id="24"/>
    </w:p>
    <w:p w14:paraId="48910517" w14:textId="77777777" w:rsidR="00B85278" w:rsidRPr="00B85278" w:rsidRDefault="005E5415" w:rsidP="001843B7">
      <w:pPr>
        <w:numPr>
          <w:ilvl w:val="0"/>
          <w:numId w:val="45"/>
        </w:numPr>
        <w:tabs>
          <w:tab w:val="clear" w:pos="567"/>
          <w:tab w:val="num" w:pos="709"/>
        </w:tabs>
        <w:spacing w:before="120" w:after="120" w:line="240" w:lineRule="atLeast"/>
        <w:ind w:left="709" w:hanging="283"/>
        <w:jc w:val="both"/>
        <w:rPr>
          <w:sz w:val="22"/>
        </w:rPr>
      </w:pPr>
      <w:r w:rsidRPr="00B85278">
        <w:rPr>
          <w:sz w:val="22"/>
        </w:rPr>
        <w:t xml:space="preserve">Die Abrechnung der Mehr-/Mindermengen </w:t>
      </w:r>
      <w:r w:rsidR="00755E96" w:rsidRPr="00B85278">
        <w:rPr>
          <w:sz w:val="22"/>
        </w:rPr>
        <w:t xml:space="preserve">durch den Netzbetreiber </w:t>
      </w:r>
      <w:r w:rsidRPr="00B85278">
        <w:rPr>
          <w:sz w:val="22"/>
        </w:rPr>
        <w:t xml:space="preserve">erfolgt </w:t>
      </w:r>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unter Maßgabe der Ziffern</w:t>
      </w:r>
      <w:r w:rsidR="001F6AAE" w:rsidRPr="00B85278">
        <w:rPr>
          <w:sz w:val="22"/>
        </w:rPr>
        <w:t xml:space="preserve"> 2 bis 7.</w:t>
      </w:r>
      <w:r w:rsidR="00755E96" w:rsidRPr="00B85278">
        <w:rPr>
          <w:sz w:val="22"/>
        </w:rPr>
        <w:t xml:space="preserve"> </w:t>
      </w:r>
    </w:p>
    <w:p w14:paraId="7E7D2FFF" w14:textId="790AD518"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Netzbetreiber berechnet nach der Ermittlung der abrechnungsrelevanten Messwerte und Daten für einen Netznutzungszeitraum die Mehr-/Mindermengen. Für jeden SLP-Ausspeisepunkt wird der gemäß DVGW</w:t>
      </w:r>
      <w:r w:rsidR="00F946CF">
        <w:rPr>
          <w:sz w:val="22"/>
          <w:szCs w:val="22"/>
        </w:rPr>
        <w:t>-</w:t>
      </w:r>
      <w:r w:rsidRPr="001F6AAE">
        <w:rPr>
          <w:sz w:val="22"/>
          <w:szCs w:val="22"/>
        </w:rPr>
        <w:t>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23A75861"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Mehr-/Mindermengenzeitraum umfasst immer den Netznutzungszeitraum und den Bilanzierungszeitraum.</w:t>
      </w:r>
    </w:p>
    <w:p w14:paraId="65F635C3"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p w14:paraId="31796058"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Lieferant kann eine laufende monatliche Übermittlung einer tages- und ausspeisepunktscharfen Monatsaufstellung der Allokationsmengen anfordern.</w:t>
      </w:r>
    </w:p>
    <w:p w14:paraId="1871D608"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Ausspeisepunkte bilanziell zugeordnet sind, erfolgt keine Übermittlung der Allokationsliste. </w:t>
      </w:r>
    </w:p>
    <w:p w14:paraId="622C9E03"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00F23A7C" w:rsidRPr="001F6AAE">
        <w:rPr>
          <w:sz w:val="22"/>
          <w:szCs w:val="22"/>
        </w:rPr>
        <w:t xml:space="preserve">bis zu einer Höhe von max. 744 kWh pro Bilanzkreis und Monat auftreten. Bei Abweichungen, die </w:t>
      </w:r>
      <w:r w:rsidR="00D25C53">
        <w:rPr>
          <w:sz w:val="22"/>
          <w:szCs w:val="22"/>
        </w:rPr>
        <w:t>744</w:t>
      </w:r>
      <w:r w:rsidR="00F23A7C" w:rsidRPr="001F6AAE">
        <w:rPr>
          <w:sz w:val="22"/>
          <w:szCs w:val="22"/>
        </w:rPr>
        <w:t xml:space="preserve"> kWh pro Bilanzkreis übersteigen, ist der Transportkunde berechtigt, von dem Netzbetreiber einen Nachweis zu verlangen. </w:t>
      </w:r>
    </w:p>
    <w:p w14:paraId="64B6C044" w14:textId="2F9DFDF8"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 xml:space="preserve">Die Mehr-/Mindermengen werden </w:t>
      </w:r>
      <w:r w:rsidR="00F946CF">
        <w:rPr>
          <w:sz w:val="22"/>
          <w:szCs w:val="22"/>
        </w:rPr>
        <w:t>in einem</w:t>
      </w:r>
      <w:r w:rsidR="00F946CF" w:rsidRPr="001F6AAE">
        <w:rPr>
          <w:sz w:val="22"/>
          <w:szCs w:val="22"/>
        </w:rPr>
        <w:t xml:space="preserve"> </w:t>
      </w:r>
      <w:r w:rsidRPr="001F6AAE">
        <w:rPr>
          <w:sz w:val="22"/>
          <w:szCs w:val="22"/>
        </w:rPr>
        <w:t xml:space="preserve">elektronischen </w:t>
      </w:r>
      <w:proofErr w:type="gramStart"/>
      <w:r w:rsidRPr="001F6AAE">
        <w:rPr>
          <w:sz w:val="22"/>
          <w:szCs w:val="22"/>
        </w:rPr>
        <w:t>Format</w:t>
      </w:r>
      <w:proofErr w:type="gramEnd"/>
      <w:r w:rsidRPr="001F6AAE">
        <w:rPr>
          <w:sz w:val="22"/>
          <w:szCs w:val="22"/>
        </w:rPr>
        <w:t xml:space="preserve"> mit dem vom Marktgebietsverantwortlichen veröffentlichten jeweiligen bundesweit einheitlichen Mehr-/Mindermengenpreis für den Abrechnungszeitraum vom Netzbetreiber gegenüber dem Lieferanten abgerechnet.</w:t>
      </w:r>
    </w:p>
    <w:p w14:paraId="51FACF1D"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Die Rechnungsstellung erfolgt im EDIFACT-Format (INVOIC) frühestens nach Ablauf des zweiten Monats nach Ende des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2</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und spätestens am Ende des dritten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3</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xml:space="preserve">). </w:t>
      </w:r>
    </w:p>
    <w:p w14:paraId="1DE86048"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14:paraId="76C26E57" w14:textId="5B24DD7F" w:rsidR="00C4094C" w:rsidRPr="001F6AAE" w:rsidRDefault="00F23A7C" w:rsidP="001843B7">
      <w:pPr>
        <w:pStyle w:val="GL2OhneZiffer"/>
        <w:numPr>
          <w:ilvl w:val="0"/>
          <w:numId w:val="45"/>
        </w:numPr>
        <w:tabs>
          <w:tab w:val="clear" w:pos="567"/>
          <w:tab w:val="num" w:pos="709"/>
        </w:tabs>
        <w:spacing w:before="120" w:line="240" w:lineRule="atLeast"/>
        <w:ind w:left="709" w:hanging="283"/>
        <w:jc w:val="both"/>
        <w:rPr>
          <w:szCs w:val="22"/>
        </w:rPr>
      </w:pPr>
      <w:r w:rsidRPr="001F6AAE">
        <w:rPr>
          <w:szCs w:val="22"/>
        </w:rPr>
        <w:t xml:space="preserve">Die energiesteuerfreie Abrechnung der Mehr-/Mindermengen im Verhältnis zwischen Netzbetreiber und dem Lieferanten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w:t>
      </w:r>
      <w:r w:rsidR="00292618">
        <w:rPr>
          <w:szCs w:val="22"/>
        </w:rPr>
        <w:t xml:space="preserve">in Textform </w:t>
      </w:r>
      <w:r w:rsidRPr="001F6AAE">
        <w:rPr>
          <w:szCs w:val="22"/>
        </w:rPr>
        <w:t>mitzuteilen.</w:t>
      </w:r>
      <w:r w:rsidR="00C4094C" w:rsidRPr="001F6AAE">
        <w:rPr>
          <w:szCs w:val="22"/>
        </w:rPr>
        <w:t xml:space="preserve"> Der Lieferant ist verpflichtet,</w:t>
      </w:r>
      <w:r w:rsidR="006742EA">
        <w:rPr>
          <w:szCs w:val="22"/>
        </w:rPr>
        <w:t xml:space="preserve"> </w:t>
      </w:r>
      <w:r w:rsidR="00C4094C" w:rsidRPr="001F6AAE">
        <w:rPr>
          <w:szCs w:val="22"/>
        </w:rPr>
        <w:t xml:space="preserve">das Vorliegen der Voraussetzungen des § 38 Abs. 3 EnergieStG dem Netzbetreiber gegenüber durch Vorlage einer von der zuständigen Zollverwaltung ausgestellten aktuellen Anmeldebestätigung im Sinne von § 78 Abs. 4 Energiesteuer - Durchführungsverordnung (EnergieStV), nach der der Lieferant als angemeldeter Lieferer zum unversteuerten Bezug von Gasmengen berechtigt ist, nachzuweisen. </w:t>
      </w:r>
      <w:r w:rsidR="002741F5">
        <w:rPr>
          <w:szCs w:val="22"/>
        </w:rPr>
        <w:t xml:space="preserve">Hierzu ist die Übersendung einer Kopie </w:t>
      </w:r>
      <w:r w:rsidR="00925ACB">
        <w:rPr>
          <w:szCs w:val="22"/>
        </w:rPr>
        <w:t xml:space="preserve">in Textform </w:t>
      </w:r>
      <w:r w:rsidR="002741F5">
        <w:rPr>
          <w:szCs w:val="22"/>
        </w:rPr>
        <w:t xml:space="preserve">ausreichend. </w:t>
      </w:r>
      <w:r w:rsidR="00C4094C" w:rsidRPr="001F6AAE">
        <w:rPr>
          <w:szCs w:val="22"/>
        </w:rPr>
        <w:t>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Lieferanten die auf die Lieferung der Gasmengen entfallenden Entgelte zuzüglich Energiesteuer in der jeweiligen gesetzlichen Höhe in Rechnung zu stellen.</w:t>
      </w:r>
    </w:p>
    <w:p w14:paraId="1C0FE4B0" w14:textId="77777777" w:rsidR="00C4094C" w:rsidRPr="001F6AAE" w:rsidRDefault="001843B7" w:rsidP="001843B7">
      <w:pPr>
        <w:pStyle w:val="GL2OhneZiffer"/>
        <w:tabs>
          <w:tab w:val="num" w:pos="709"/>
        </w:tabs>
        <w:spacing w:before="120" w:line="240" w:lineRule="atLeast"/>
        <w:ind w:left="709" w:hanging="283"/>
        <w:jc w:val="both"/>
        <w:rPr>
          <w:szCs w:val="22"/>
        </w:rPr>
      </w:pPr>
      <w:r>
        <w:rPr>
          <w:szCs w:val="22"/>
        </w:rPr>
        <w:tab/>
      </w:r>
      <w:r w:rsidR="00C4094C" w:rsidRPr="001F6AAE">
        <w:rPr>
          <w:szCs w:val="22"/>
        </w:rPr>
        <w:t xml:space="preserve">Der Lieferant ist verpflichtet, den Netzbetreiber umgehend </w:t>
      </w:r>
      <w:r w:rsidR="00292618">
        <w:rPr>
          <w:szCs w:val="22"/>
        </w:rPr>
        <w:t xml:space="preserve">in Textform </w:t>
      </w:r>
      <w:r w:rsidR="00C4094C" w:rsidRPr="001F6AAE">
        <w:rPr>
          <w:szCs w:val="22"/>
        </w:rPr>
        <w:t>zu informieren, wenn er nicht bzw. nicht mehr Lieferer im Sinne des § 38 Abs. 3 EnergieStG ist. Bei Adressänderungen, Umfirmierungen, Änderungen der Rechtsform ist die Vorlage einer aktuellen Liefererbestätigung der Zollverwaltung erforderlich. Kommt der Lieferant dieser Hinweispflicht nicht oder nicht rechtzeitig nach, ist er verpflichtet, die daraus für den Netzbetreiber entstehende Energiesteuer an diesen zu erstatten.</w:t>
      </w:r>
    </w:p>
    <w:p w14:paraId="25225CDB" w14:textId="77777777" w:rsidR="00595212" w:rsidRPr="00C45BAB" w:rsidRDefault="00261427" w:rsidP="003007C9">
      <w:pPr>
        <w:pStyle w:val="berschrift3"/>
        <w:jc w:val="both"/>
        <w:rPr>
          <w:sz w:val="22"/>
          <w:szCs w:val="22"/>
        </w:rPr>
      </w:pPr>
      <w:bookmarkStart w:id="25" w:name="_Toc446244940"/>
      <w:bookmarkStart w:id="26" w:name="_Toc99480700"/>
      <w:r w:rsidRPr="00186FAD">
        <w:rPr>
          <w:sz w:val="22"/>
          <w:szCs w:val="22"/>
        </w:rPr>
        <w:t xml:space="preserve">§ </w:t>
      </w:r>
      <w:r w:rsidR="005D62CA">
        <w:rPr>
          <w:sz w:val="22"/>
          <w:szCs w:val="22"/>
        </w:rPr>
        <w:t>11</w:t>
      </w:r>
      <w:r w:rsidR="006B29D0">
        <w:rPr>
          <w:sz w:val="22"/>
          <w:szCs w:val="22"/>
        </w:rPr>
        <w:t xml:space="preserve"> </w:t>
      </w:r>
      <w:r w:rsidRPr="00186FAD">
        <w:rPr>
          <w:sz w:val="22"/>
          <w:szCs w:val="22"/>
        </w:rPr>
        <w:t>Störungen und Unterbrechungen der Netznutzung</w:t>
      </w:r>
      <w:bookmarkEnd w:id="25"/>
      <w:bookmarkEnd w:id="26"/>
      <w:r w:rsidR="00176E38" w:rsidRPr="00EB2953">
        <w:rPr>
          <w:sz w:val="22"/>
          <w:szCs w:val="22"/>
        </w:rPr>
        <w:t xml:space="preserve"> </w:t>
      </w:r>
    </w:p>
    <w:p w14:paraId="3250F322" w14:textId="77777777"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14:paraId="668C3451" w14:textId="77777777"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w:t>
      </w:r>
      <w:r w:rsidR="00147472">
        <w:rPr>
          <w:rFonts w:cs="Arial"/>
          <w:sz w:val="22"/>
          <w:szCs w:val="22"/>
        </w:rPr>
        <w:t xml:space="preserve">kann </w:t>
      </w:r>
      <w:r w:rsidRPr="00974966">
        <w:rPr>
          <w:rFonts w:cs="Arial"/>
          <w:sz w:val="22"/>
          <w:szCs w:val="22"/>
        </w:rPr>
        <w:t xml:space="preserve">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Bei planbaren Unterbrechungen berücksichtigt er die Interessen des Transportkunden angemessen.</w:t>
      </w:r>
      <w:r w:rsidR="006E2A52" w:rsidRPr="00974966">
        <w:rPr>
          <w:rFonts w:cs="Arial"/>
          <w:sz w:val="20"/>
          <w:szCs w:val="20"/>
        </w:rPr>
        <w:t xml:space="preserve"> </w:t>
      </w:r>
    </w:p>
    <w:p w14:paraId="2BC006E1" w14:textId="77777777"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14:paraId="00D4BE75" w14:textId="77777777"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14:paraId="7C9B4460" w14:textId="77777777"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um die Anschlussnutzung unter Umgehung, Beeinflussung oder vor Anbringung von Messeinrichtungen zu verhindern</w:t>
      </w:r>
      <w:r w:rsidR="001B2D23" w:rsidRPr="000D4C17">
        <w:rPr>
          <w:rFonts w:cs="Arial"/>
          <w:sz w:val="22"/>
          <w:szCs w:val="22"/>
        </w:rPr>
        <w:t>,</w:t>
      </w:r>
      <w:r w:rsidRPr="000D4C17">
        <w:rPr>
          <w:rFonts w:cs="Arial"/>
          <w:sz w:val="22"/>
          <w:szCs w:val="22"/>
        </w:rPr>
        <w:t xml:space="preserve"> </w:t>
      </w:r>
    </w:p>
    <w:p w14:paraId="6B9B07B7" w14:textId="77777777"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um zu gewährleisten, dass Störungen anderer Anschlussnehmer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14:paraId="3583F1FD" w14:textId="77777777"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 xml:space="preserve">weil ein Ausspeisepunkt keinem Bilanzkreis mehr zugeordnet ist. </w:t>
      </w:r>
    </w:p>
    <w:p w14:paraId="21E75027" w14:textId="0CC098CF"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r w:rsidR="00BB6857" w:rsidRPr="00974966">
        <w:rPr>
          <w:rFonts w:cs="Arial"/>
          <w:sz w:val="22"/>
          <w:szCs w:val="22"/>
        </w:rPr>
        <w:t xml:space="preserve">Niederdruckanschlussverordnung </w:t>
      </w:r>
      <w:r w:rsidR="007126F9" w:rsidRPr="00974966">
        <w:rPr>
          <w:rFonts w:cs="Arial"/>
          <w:sz w:val="22"/>
          <w:szCs w:val="22"/>
        </w:rPr>
        <w:t>(</w:t>
      </w:r>
      <w:r w:rsidR="001B2D23" w:rsidRPr="00974966">
        <w:rPr>
          <w:rFonts w:cs="Arial"/>
          <w:sz w:val="22"/>
          <w:szCs w:val="22"/>
        </w:rPr>
        <w:t>N</w:t>
      </w:r>
      <w:r w:rsidR="00BB6857" w:rsidRPr="00974966">
        <w:rPr>
          <w:rFonts w:cs="Arial"/>
          <w:sz w:val="22"/>
          <w:szCs w:val="22"/>
        </w:rPr>
        <w:t>D</w:t>
      </w:r>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19 der Gasgrundversorgungsverordnung (GasGVV)</w:t>
      </w:r>
      <w:r w:rsidR="001B2D23" w:rsidRPr="00974966">
        <w:rPr>
          <w:rFonts w:cs="Arial"/>
          <w:sz w:val="22"/>
          <w:szCs w:val="22"/>
        </w:rPr>
        <w:t xml:space="preserve"> sowie in sonstigen gesetzlich vorgesehen</w:t>
      </w:r>
      <w:r w:rsidR="00682E59">
        <w:rPr>
          <w:rFonts w:cs="Arial"/>
          <w:sz w:val="22"/>
          <w:szCs w:val="22"/>
        </w:rPr>
        <w:t>en</w:t>
      </w:r>
      <w:r w:rsidR="001B2D23" w:rsidRPr="00974966">
        <w:rPr>
          <w:rFonts w:cs="Arial"/>
          <w:sz w:val="22"/>
          <w:szCs w:val="22"/>
        </w:rPr>
        <w:t xml:space="preserve">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diesem Vertrag umfassten </w:t>
      </w:r>
      <w:r w:rsidR="00BB6857" w:rsidRPr="00974966">
        <w:rPr>
          <w:rFonts w:cs="Arial"/>
          <w:sz w:val="22"/>
          <w:szCs w:val="22"/>
        </w:rPr>
        <w:t xml:space="preserve">Ausspeisepunkte </w:t>
      </w:r>
      <w:r w:rsidRPr="00974966">
        <w:rPr>
          <w:rFonts w:cs="Arial"/>
          <w:sz w:val="22"/>
          <w:szCs w:val="22"/>
        </w:rPr>
        <w:t>haben können, bleibt unberührt.</w:t>
      </w:r>
    </w:p>
    <w:p w14:paraId="41FAA875" w14:textId="77777777"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r w:rsidR="0059310F" w:rsidRPr="00974966">
        <w:rPr>
          <w:rFonts w:cs="Arial"/>
          <w:sz w:val="22"/>
          <w:szCs w:val="22"/>
        </w:rPr>
        <w:t xml:space="preserve"> </w:t>
      </w:r>
    </w:p>
    <w:p w14:paraId="481D6480" w14:textId="77777777" w:rsidR="0053402A" w:rsidRPr="00EB2953" w:rsidRDefault="00640B44" w:rsidP="0053402A">
      <w:pPr>
        <w:numPr>
          <w:ilvl w:val="0"/>
          <w:numId w:val="5"/>
        </w:numPr>
        <w:tabs>
          <w:tab w:val="left" w:pos="0"/>
          <w:tab w:val="left" w:pos="1418"/>
        </w:tabs>
        <w:spacing w:before="120" w:line="240" w:lineRule="atLeast"/>
        <w:jc w:val="both"/>
        <w:rPr>
          <w:rFonts w:cs="Arial"/>
          <w:sz w:val="22"/>
          <w:szCs w:val="22"/>
        </w:rPr>
      </w:pPr>
      <w:r>
        <w:rPr>
          <w:rFonts w:cs="Arial"/>
          <w:sz w:val="22"/>
          <w:szCs w:val="22"/>
        </w:rPr>
        <w:t>D</w:t>
      </w:r>
      <w:r w:rsidR="00CF6416" w:rsidRPr="003A2313">
        <w:rPr>
          <w:rFonts w:cs="Arial"/>
          <w:sz w:val="22"/>
          <w:szCs w:val="22"/>
        </w:rPr>
        <w:t xml:space="preserve">er Netzbetreiber </w:t>
      </w:r>
      <w:r w:rsidRPr="003A2313">
        <w:rPr>
          <w:rFonts w:cs="Arial"/>
          <w:sz w:val="22"/>
          <w:szCs w:val="22"/>
        </w:rPr>
        <w:t xml:space="preserve">unterbricht </w:t>
      </w:r>
      <w:r w:rsidR="00CF6416" w:rsidRPr="003A2313">
        <w:rPr>
          <w:rFonts w:cs="Arial"/>
          <w:sz w:val="22"/>
          <w:szCs w:val="22"/>
        </w:rPr>
        <w:t>auf Anweisung</w:t>
      </w:r>
      <w:r>
        <w:rPr>
          <w:rFonts w:cs="Arial"/>
          <w:sz w:val="22"/>
          <w:szCs w:val="22"/>
        </w:rPr>
        <w:t xml:space="preserve"> des Transportkunden</w:t>
      </w:r>
      <w:r w:rsidR="00CF6416" w:rsidRPr="003A2313">
        <w:rPr>
          <w:rFonts w:cs="Arial"/>
          <w:sz w:val="22"/>
          <w:szCs w:val="22"/>
        </w:rPr>
        <w:t xml:space="preserve"> die Netz- und Anschlussnutzung eines vo</w:t>
      </w:r>
      <w:r w:rsidR="00285474">
        <w:rPr>
          <w:rFonts w:cs="Arial"/>
          <w:sz w:val="22"/>
          <w:szCs w:val="22"/>
        </w:rPr>
        <w:t>n</w:t>
      </w:r>
      <w:r w:rsidR="00CF6416" w:rsidRPr="003A2313">
        <w:rPr>
          <w:rFonts w:cs="Arial"/>
          <w:sz w:val="22"/>
          <w:szCs w:val="22"/>
        </w:rPr>
        <w:t xml:space="preserve"> </w:t>
      </w:r>
      <w:r>
        <w:rPr>
          <w:rFonts w:cs="Arial"/>
          <w:sz w:val="22"/>
          <w:szCs w:val="22"/>
        </w:rPr>
        <w:t>ihm</w:t>
      </w:r>
      <w:r w:rsidRPr="003A2313">
        <w:rPr>
          <w:rFonts w:cs="Arial"/>
          <w:sz w:val="22"/>
          <w:szCs w:val="22"/>
        </w:rPr>
        <w:t xml:space="preserve"> </w:t>
      </w:r>
      <w:r w:rsidR="00CF6416" w:rsidRPr="003A2313">
        <w:rPr>
          <w:rFonts w:cs="Arial"/>
          <w:sz w:val="22"/>
          <w:szCs w:val="22"/>
        </w:rPr>
        <w:t xml:space="preserve">belieferten Letztverbrauchers im </w:t>
      </w: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r w:rsidR="00CF6416" w:rsidRPr="00397BE0">
        <w:rPr>
          <w:rFonts w:cs="Arial"/>
          <w:sz w:val="22"/>
          <w:szCs w:val="22"/>
        </w:rPr>
        <w:t xml:space="preserve">des </w:t>
      </w:r>
      <w:r w:rsidR="00CF6416"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00CF6416" w:rsidRPr="00264698">
        <w:rPr>
          <w:rFonts w:cs="Arial"/>
          <w:sz w:val="22"/>
          <w:szCs w:val="22"/>
        </w:rPr>
        <w:t>Werktagen, wenn</w:t>
      </w:r>
      <w:r w:rsidR="00CF6416" w:rsidRPr="00D70197">
        <w:rPr>
          <w:rFonts w:cs="Arial"/>
          <w:sz w:val="22"/>
          <w:szCs w:val="22"/>
        </w:rPr>
        <w:t xml:space="preserve"> der </w:t>
      </w:r>
      <w:r>
        <w:rPr>
          <w:rFonts w:cs="Arial"/>
          <w:sz w:val="22"/>
          <w:szCs w:val="22"/>
        </w:rPr>
        <w:t>Transportkunde</w:t>
      </w:r>
      <w:r w:rsidRPr="00D70197">
        <w:rPr>
          <w:rFonts w:cs="Arial"/>
          <w:sz w:val="22"/>
          <w:szCs w:val="22"/>
        </w:rPr>
        <w:t xml:space="preserve"> </w:t>
      </w:r>
      <w:r w:rsidR="00CF6416" w:rsidRPr="00186FAD">
        <w:rPr>
          <w:rFonts w:cs="Arial"/>
          <w:sz w:val="22"/>
          <w:szCs w:val="22"/>
        </w:rPr>
        <w:t>dem Netzbetreiber glaubhaft versichert, dass</w:t>
      </w:r>
      <w:r w:rsidR="0053402A" w:rsidRPr="00EB2953">
        <w:rPr>
          <w:rFonts w:cs="Arial"/>
          <w:sz w:val="22"/>
          <w:szCs w:val="22"/>
        </w:rPr>
        <w:t xml:space="preserve"> </w:t>
      </w:r>
      <w:r w:rsidR="00CF6416" w:rsidRPr="00EB2953">
        <w:rPr>
          <w:rFonts w:cs="Arial"/>
          <w:sz w:val="22"/>
          <w:szCs w:val="22"/>
        </w:rPr>
        <w:t xml:space="preserve">er </w:t>
      </w:r>
    </w:p>
    <w:p w14:paraId="2AA54DBB" w14:textId="77777777"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14:paraId="22A3C07F" w14:textId="77777777"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14:paraId="7F1C9F80" w14:textId="597A6370"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r w:rsidR="00640B44">
        <w:rPr>
          <w:rFonts w:cs="Arial"/>
          <w:sz w:val="22"/>
          <w:szCs w:val="22"/>
        </w:rPr>
        <w:t>Transportkunden</w:t>
      </w:r>
      <w:r w:rsidR="00640B44" w:rsidRPr="00903218">
        <w:rPr>
          <w:rFonts w:cs="Arial"/>
          <w:sz w:val="22"/>
          <w:szCs w:val="22"/>
        </w:rPr>
        <w:t xml:space="preserve"> </w:t>
      </w:r>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p>
    <w:p w14:paraId="081FE9C3" w14:textId="786941E8" w:rsidR="00F771AD" w:rsidRDefault="0053402A" w:rsidP="0053402A">
      <w:pPr>
        <w:tabs>
          <w:tab w:val="left" w:pos="0"/>
        </w:tabs>
        <w:spacing w:before="120" w:line="240" w:lineRule="atLeast"/>
        <w:ind w:left="709"/>
        <w:jc w:val="both"/>
        <w:rPr>
          <w:rFonts w:cs="Arial"/>
          <w:sz w:val="22"/>
          <w:szCs w:val="22"/>
        </w:rPr>
      </w:pPr>
      <w:r w:rsidRPr="00CB4860">
        <w:rPr>
          <w:rFonts w:cs="Arial"/>
          <w:sz w:val="22"/>
          <w:szCs w:val="22"/>
        </w:rPr>
        <w:t xml:space="preserve">Der </w:t>
      </w:r>
      <w:r w:rsidR="00C83C27">
        <w:rPr>
          <w:rFonts w:cs="Arial"/>
          <w:sz w:val="22"/>
          <w:szCs w:val="22"/>
        </w:rPr>
        <w:t xml:space="preserve">jeweils beauftragende </w:t>
      </w:r>
      <w:r w:rsidR="00640B44">
        <w:rPr>
          <w:rFonts w:cs="Arial"/>
          <w:sz w:val="22"/>
          <w:szCs w:val="22"/>
        </w:rPr>
        <w:t>Transportkunde</w:t>
      </w:r>
      <w:r w:rsidR="00640B44" w:rsidRPr="00CB4860">
        <w:rPr>
          <w:rFonts w:cs="Arial"/>
          <w:sz w:val="22"/>
          <w:szCs w:val="22"/>
        </w:rPr>
        <w:t xml:space="preserve"> </w:t>
      </w:r>
      <w:r w:rsidR="00C83C27">
        <w:rPr>
          <w:rFonts w:cs="Arial"/>
          <w:sz w:val="22"/>
          <w:szCs w:val="22"/>
        </w:rPr>
        <w:t>t</w:t>
      </w:r>
      <w:r w:rsidR="00C83C27" w:rsidRPr="00210EE4">
        <w:rPr>
          <w:rFonts w:cs="Arial"/>
          <w:sz w:val="22"/>
          <w:szCs w:val="22"/>
        </w:rPr>
        <w:t xml:space="preserve">rägt die Kosten der </w:t>
      </w:r>
      <w:r w:rsidR="00C83C27">
        <w:rPr>
          <w:rFonts w:cs="Arial"/>
          <w:sz w:val="22"/>
          <w:szCs w:val="22"/>
        </w:rPr>
        <w:t>Unterbrechung.</w:t>
      </w:r>
      <w:r w:rsidR="00C83C27" w:rsidRPr="00210EE4">
        <w:rPr>
          <w:rFonts w:cs="Arial"/>
          <w:sz w:val="22"/>
          <w:szCs w:val="22"/>
        </w:rPr>
        <w:t xml:space="preserve"> </w:t>
      </w:r>
      <w:r w:rsidR="00C83C27">
        <w:rPr>
          <w:rFonts w:cs="Arial"/>
          <w:sz w:val="22"/>
          <w:szCs w:val="22"/>
        </w:rPr>
        <w:t>Dies gilt gleichermaßen für die Wiederherstellung, soweit der Netzbetreiber diese erbringt</w:t>
      </w:r>
      <w:r w:rsidR="00C83C27" w:rsidRPr="00210EE4">
        <w:rPr>
          <w:rFonts w:cs="Arial"/>
          <w:sz w:val="22"/>
          <w:szCs w:val="22"/>
        </w:rPr>
        <w:t>.</w:t>
      </w:r>
      <w:r w:rsidR="00C83C27">
        <w:rPr>
          <w:rFonts w:cs="Arial"/>
          <w:sz w:val="22"/>
          <w:szCs w:val="22"/>
        </w:rPr>
        <w:t xml:space="preserve"> Der Transportkunde </w:t>
      </w:r>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w:t>
      </w:r>
      <w:r w:rsidR="00C83C27">
        <w:rPr>
          <w:rFonts w:cs="Arial"/>
          <w:sz w:val="22"/>
          <w:szCs w:val="22"/>
        </w:rPr>
        <w:t>Unterbrechung</w:t>
      </w:r>
      <w:r w:rsidR="00467BF2">
        <w:rPr>
          <w:rFonts w:cs="Arial"/>
          <w:sz w:val="22"/>
          <w:szCs w:val="22"/>
        </w:rPr>
        <w:t xml:space="preserve"> </w:t>
      </w:r>
      <w:r w:rsidR="00133736">
        <w:rPr>
          <w:rFonts w:cs="Arial"/>
          <w:sz w:val="22"/>
          <w:szCs w:val="22"/>
        </w:rPr>
        <w:t xml:space="preserve">und zur </w:t>
      </w:r>
      <w:r w:rsidR="00467BF2">
        <w:rPr>
          <w:rFonts w:cs="Arial"/>
          <w:sz w:val="22"/>
          <w:szCs w:val="22"/>
        </w:rPr>
        <w:t xml:space="preserve">Wiederherstellung </w:t>
      </w:r>
      <w:r w:rsidRPr="00264698">
        <w:rPr>
          <w:rFonts w:cs="Arial"/>
          <w:sz w:val="22"/>
          <w:szCs w:val="22"/>
        </w:rPr>
        <w:t xml:space="preserve">erfolgt </w:t>
      </w:r>
      <w:r w:rsidR="00467BF2">
        <w:rPr>
          <w:rFonts w:cs="Arial"/>
          <w:sz w:val="22"/>
          <w:szCs w:val="22"/>
        </w:rPr>
        <w:t xml:space="preserve">im </w:t>
      </w:r>
      <w:r w:rsidR="00467BF2" w:rsidRPr="00210EE4">
        <w:rPr>
          <w:rFonts w:cs="Arial"/>
          <w:sz w:val="22"/>
          <w:szCs w:val="22"/>
        </w:rPr>
        <w:t>Rahmen der Marktkommunikation elektronisch, in sonstigen nicht davon erfassten</w:t>
      </w:r>
      <w:r w:rsidR="00467BF2">
        <w:rPr>
          <w:rFonts w:cs="Arial"/>
          <w:sz w:val="22"/>
          <w:szCs w:val="22"/>
        </w:rPr>
        <w:t xml:space="preserve"> Fällen </w:t>
      </w:r>
      <w:r w:rsidR="00CF6416" w:rsidRPr="00264698">
        <w:rPr>
          <w:rFonts w:cs="Arial"/>
          <w:sz w:val="22"/>
          <w:szCs w:val="22"/>
        </w:rPr>
        <w:t xml:space="preserve">gemäß dem </w:t>
      </w:r>
      <w:r w:rsidR="00264698">
        <w:rPr>
          <w:rFonts w:cs="Arial"/>
          <w:sz w:val="22"/>
          <w:szCs w:val="22"/>
        </w:rPr>
        <w:t>Prozess</w:t>
      </w:r>
      <w:r w:rsidR="00264698" w:rsidRPr="00264698">
        <w:rPr>
          <w:rFonts w:cs="Arial"/>
          <w:sz w:val="22"/>
          <w:szCs w:val="22"/>
        </w:rPr>
        <w:t xml:space="preserve"> </w:t>
      </w:r>
      <w:r w:rsidR="00CF6416" w:rsidRPr="00264698">
        <w:rPr>
          <w:rFonts w:cs="Arial"/>
          <w:sz w:val="22"/>
          <w:szCs w:val="22"/>
        </w:rPr>
        <w:t xml:space="preserve">zur Unterbrechung der Anschlussnutzung </w:t>
      </w:r>
      <w:r w:rsidR="00467BF2">
        <w:rPr>
          <w:rFonts w:cs="Arial"/>
          <w:sz w:val="22"/>
          <w:szCs w:val="22"/>
        </w:rPr>
        <w:t xml:space="preserve">in </w:t>
      </w:r>
      <w:r w:rsidR="009D7684">
        <w:rPr>
          <w:rFonts w:cs="Arial"/>
          <w:sz w:val="22"/>
          <w:szCs w:val="22"/>
        </w:rPr>
        <w:t>d</w:t>
      </w:r>
      <w:r w:rsidR="00264698">
        <w:rPr>
          <w:rFonts w:cs="Arial"/>
          <w:sz w:val="22"/>
          <w:szCs w:val="22"/>
        </w:rPr>
        <w:t>en Ergänzenden Geschäftsbedingungen</w:t>
      </w:r>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r w:rsidR="00640B44">
        <w:rPr>
          <w:rFonts w:cs="Arial"/>
          <w:sz w:val="22"/>
          <w:szCs w:val="22"/>
        </w:rPr>
        <w:t>Transportkunde</w:t>
      </w:r>
      <w:r w:rsidR="00640B44" w:rsidRPr="00264698">
        <w:rPr>
          <w:rFonts w:cs="Arial"/>
          <w:sz w:val="22"/>
          <w:szCs w:val="22"/>
        </w:rPr>
        <w:t xml:space="preserve"> </w:t>
      </w:r>
      <w:r w:rsidRPr="00264698">
        <w:rPr>
          <w:rFonts w:cs="Arial"/>
          <w:sz w:val="22"/>
          <w:szCs w:val="22"/>
        </w:rPr>
        <w:t>dem Netzbetreiber das Vorliegen der oben genannten Voraussetzungen zu.</w:t>
      </w:r>
    </w:p>
    <w:p w14:paraId="4B57A5D8" w14:textId="77777777" w:rsidR="002A66CF" w:rsidRPr="00850F40" w:rsidRDefault="002A66CF" w:rsidP="00222749">
      <w:pPr>
        <w:tabs>
          <w:tab w:val="left" w:pos="0"/>
        </w:tabs>
        <w:spacing w:before="120" w:line="240" w:lineRule="atLeast"/>
        <w:ind w:left="709"/>
        <w:jc w:val="both"/>
        <w:rPr>
          <w:rFonts w:cs="Arial"/>
          <w:sz w:val="22"/>
          <w:szCs w:val="22"/>
        </w:rPr>
      </w:pPr>
      <w:r>
        <w:rPr>
          <w:rFonts w:cs="Arial"/>
          <w:sz w:val="22"/>
          <w:szCs w:val="22"/>
        </w:rPr>
        <w:t>Der Netzbetreiber ist nicht verpflichtet, etwaige Unterbrechungsankündigungen gegenüber dem Letztverbraucher vorzunehmen.</w:t>
      </w:r>
    </w:p>
    <w:p w14:paraId="28E5F9ED" w14:textId="13176CBC" w:rsidR="00B048A4" w:rsidRPr="00DC114A" w:rsidRDefault="00CF6416" w:rsidP="00DC114A">
      <w:pPr>
        <w:tabs>
          <w:tab w:val="left" w:pos="0"/>
        </w:tabs>
        <w:spacing w:before="120" w:line="240" w:lineRule="atLeast"/>
        <w:ind w:left="720"/>
        <w:jc w:val="both"/>
        <w:rPr>
          <w:rFonts w:cs="Arial"/>
          <w:sz w:val="22"/>
          <w:szCs w:val="22"/>
        </w:rPr>
      </w:pPr>
      <w:r w:rsidRPr="001F6AAE">
        <w:rPr>
          <w:rFonts w:cs="Arial"/>
          <w:sz w:val="22"/>
          <w:szCs w:val="22"/>
        </w:rPr>
        <w:t xml:space="preserve">Ist ein Dritter mit dem Messstellenbetrieb beauftragt worden, wird der Netzbetreiber </w:t>
      </w:r>
      <w:r w:rsidRPr="005D62CA">
        <w:rPr>
          <w:rFonts w:cs="Arial"/>
          <w:sz w:val="22"/>
          <w:szCs w:val="22"/>
        </w:rPr>
        <w:t xml:space="preserve">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 xml:space="preserve">Unterbrechung notwendigen Handlungen </w:t>
      </w:r>
      <w:r w:rsidR="00224A3D">
        <w:rPr>
          <w:rFonts w:cs="Arial"/>
          <w:sz w:val="22"/>
          <w:szCs w:val="22"/>
        </w:rPr>
        <w:t xml:space="preserve">nach § 12 MsbG </w:t>
      </w:r>
      <w:r w:rsidRPr="00E87550">
        <w:rPr>
          <w:rFonts w:cs="Arial"/>
          <w:sz w:val="22"/>
          <w:szCs w:val="22"/>
        </w:rPr>
        <w:t>verlangen oder sie selbst durchführen.</w:t>
      </w:r>
    </w:p>
    <w:p w14:paraId="7C823EA9" w14:textId="68FFC7DA" w:rsidR="00CF6416" w:rsidRPr="001F6AAE" w:rsidRDefault="00CF6416" w:rsidP="00467BF2">
      <w:pPr>
        <w:tabs>
          <w:tab w:val="left" w:pos="0"/>
        </w:tabs>
        <w:spacing w:before="120" w:line="240" w:lineRule="atLeast"/>
        <w:jc w:val="right"/>
        <w:rPr>
          <w:rFonts w:cs="Arial"/>
          <w:sz w:val="22"/>
          <w:szCs w:val="22"/>
        </w:rPr>
      </w:pPr>
    </w:p>
    <w:p w14:paraId="2BAAC884" w14:textId="3D25958A" w:rsidR="00CF6416" w:rsidRPr="00F014CD" w:rsidRDefault="00CF6416" w:rsidP="00F014CD">
      <w:pPr>
        <w:numPr>
          <w:ilvl w:val="0"/>
          <w:numId w:val="5"/>
        </w:numPr>
        <w:tabs>
          <w:tab w:val="left" w:pos="0"/>
        </w:tabs>
        <w:spacing w:before="120" w:line="240" w:lineRule="atLeast"/>
        <w:jc w:val="both"/>
        <w:rPr>
          <w:rFonts w:cs="Arial"/>
          <w:sz w:val="22"/>
          <w:szCs w:val="22"/>
        </w:rPr>
      </w:pPr>
      <w:r w:rsidRPr="00F014CD">
        <w:rPr>
          <w:rFonts w:cs="Arial"/>
          <w:sz w:val="22"/>
          <w:szCs w:val="22"/>
        </w:rPr>
        <w:t xml:space="preserve">Der Netzbetreiber hat die Unterbrechung des Netzanschlusses und der Anschlussnutzung unverzüglich aufzuheben, sobald die Gründe für die Unterbrechung entfallen sind </w:t>
      </w:r>
      <w:r w:rsidR="00914CB5" w:rsidRPr="00F014CD">
        <w:rPr>
          <w:rFonts w:cs="Arial"/>
          <w:sz w:val="22"/>
          <w:szCs w:val="22"/>
        </w:rPr>
        <w:t>und</w:t>
      </w:r>
      <w:r w:rsidR="00FE4E95">
        <w:rPr>
          <w:rFonts w:cs="Arial"/>
          <w:sz w:val="22"/>
          <w:szCs w:val="22"/>
        </w:rPr>
        <w:t xml:space="preserve"> </w:t>
      </w:r>
      <w:r w:rsidR="00B71916" w:rsidRPr="00F014CD">
        <w:rPr>
          <w:rFonts w:cs="Arial"/>
          <w:sz w:val="22"/>
          <w:szCs w:val="22"/>
        </w:rPr>
        <w:t xml:space="preserve">entweder </w:t>
      </w:r>
      <w:r w:rsidR="00914CB5" w:rsidRPr="00F014CD">
        <w:rPr>
          <w:rFonts w:cs="Arial"/>
          <w:sz w:val="22"/>
          <w:szCs w:val="22"/>
        </w:rPr>
        <w:t xml:space="preserve">die Kosten der Unterbrechung und Wiederherstellung des Anschlusses und der Anschlussnutzung </w:t>
      </w:r>
      <w:r w:rsidR="00264698" w:rsidRPr="00F014CD">
        <w:rPr>
          <w:rFonts w:cs="Arial"/>
          <w:sz w:val="22"/>
          <w:szCs w:val="22"/>
        </w:rPr>
        <w:t>gegenüber dem Netzbetreiber begl</w:t>
      </w:r>
      <w:r w:rsidR="007C620C" w:rsidRPr="00F014CD">
        <w:rPr>
          <w:rFonts w:cs="Arial"/>
          <w:sz w:val="22"/>
          <w:szCs w:val="22"/>
        </w:rPr>
        <w:t>i</w:t>
      </w:r>
      <w:r w:rsidR="00264698" w:rsidRPr="00F014CD">
        <w:rPr>
          <w:rFonts w:cs="Arial"/>
          <w:sz w:val="22"/>
          <w:szCs w:val="22"/>
        </w:rPr>
        <w:t>chen worden sind</w:t>
      </w:r>
      <w:r w:rsidR="00B71916" w:rsidRPr="00F014CD">
        <w:rPr>
          <w:rFonts w:cs="Arial"/>
          <w:sz w:val="22"/>
          <w:szCs w:val="22"/>
        </w:rPr>
        <w:t>, oder im Falle de</w:t>
      </w:r>
      <w:r w:rsidR="00A75F20" w:rsidRPr="00F014CD">
        <w:rPr>
          <w:rFonts w:cs="Arial"/>
          <w:sz w:val="22"/>
          <w:szCs w:val="22"/>
        </w:rPr>
        <w:t>r</w:t>
      </w:r>
      <w:r w:rsidR="00B71916" w:rsidRPr="00F014CD">
        <w:rPr>
          <w:rFonts w:cs="Arial"/>
          <w:sz w:val="22"/>
          <w:szCs w:val="22"/>
        </w:rPr>
        <w:t xml:space="preserve"> </w:t>
      </w:r>
      <w:r w:rsidR="00A75F20" w:rsidRPr="00F014CD">
        <w:rPr>
          <w:rFonts w:cs="Arial"/>
          <w:sz w:val="22"/>
          <w:szCs w:val="22"/>
        </w:rPr>
        <w:t>Ziffer</w:t>
      </w:r>
      <w:r w:rsidR="00B71916" w:rsidRPr="00F014CD">
        <w:rPr>
          <w:rFonts w:cs="Arial"/>
          <w:sz w:val="22"/>
          <w:szCs w:val="22"/>
        </w:rPr>
        <w:t xml:space="preserve"> 6 der Lieferant den Auftrag zur Entsperrung erteilt hat</w:t>
      </w:r>
      <w:r w:rsidR="00264698" w:rsidRPr="00F014CD">
        <w:rPr>
          <w:rFonts w:cs="Arial"/>
          <w:sz w:val="22"/>
          <w:szCs w:val="22"/>
        </w:rPr>
        <w:t>.</w:t>
      </w:r>
      <w:r w:rsidR="00FE4E95">
        <w:rPr>
          <w:rFonts w:cs="Arial"/>
          <w:sz w:val="22"/>
          <w:szCs w:val="22"/>
        </w:rPr>
        <w:t xml:space="preserve"> </w:t>
      </w:r>
      <w:r w:rsidR="00467BF2" w:rsidRPr="00F014CD">
        <w:rPr>
          <w:rFonts w:cs="Arial"/>
          <w:sz w:val="22"/>
          <w:szCs w:val="22"/>
        </w:rPr>
        <w:t xml:space="preserve">Ist eine vom Lieferanten angewiesene </w:t>
      </w:r>
      <w:r w:rsidR="00467BF2">
        <w:rPr>
          <w:rFonts w:cs="Arial"/>
          <w:sz w:val="22"/>
          <w:szCs w:val="22"/>
        </w:rPr>
        <w:t>Unterbrechung</w:t>
      </w:r>
      <w:r w:rsidR="00467BF2" w:rsidRPr="00F014CD">
        <w:rPr>
          <w:rFonts w:cs="Arial"/>
          <w:sz w:val="22"/>
          <w:szCs w:val="22"/>
        </w:rPr>
        <w:t xml:space="preserve"> oder Anschlusswiederherstellung aus rechtlichen oder tatsächlichen Gründen nicht möglich, wird der Netzbetreiber den Lieferanten hierüber unverzüglich informieren.</w:t>
      </w:r>
    </w:p>
    <w:p w14:paraId="51DB31D0" w14:textId="54FAECCF" w:rsidR="00CF6416" w:rsidRPr="00264698" w:rsidRDefault="00E17113" w:rsidP="00CF6416">
      <w:pPr>
        <w:numPr>
          <w:ilvl w:val="0"/>
          <w:numId w:val="5"/>
        </w:numPr>
        <w:tabs>
          <w:tab w:val="left" w:pos="0"/>
        </w:tabs>
        <w:spacing w:before="120" w:line="240" w:lineRule="atLeast"/>
        <w:jc w:val="both"/>
        <w:rPr>
          <w:rFonts w:cs="Arial"/>
          <w:sz w:val="22"/>
          <w:szCs w:val="22"/>
        </w:rPr>
      </w:pPr>
      <w:r w:rsidRPr="00264698">
        <w:rPr>
          <w:rFonts w:cs="Arial"/>
          <w:sz w:val="22"/>
          <w:szCs w:val="22"/>
          <w:vertAlign w:val="superscript"/>
        </w:rPr>
        <w:t xml:space="preserve"> </w:t>
      </w:r>
      <w:r w:rsidR="00CF6416" w:rsidRPr="00264698">
        <w:rPr>
          <w:rFonts w:cs="Arial"/>
          <w:sz w:val="22"/>
          <w:szCs w:val="22"/>
        </w:rPr>
        <w:t>Die Kosten für die Unterbrechung und die Wiederherstellung der Netz- bzw. Anschlussnutzung können pauschal berechnet werden. Sie sind auf der Internetseite des Netzbetreibers zu veröffentlichen.</w:t>
      </w:r>
      <w:r w:rsidR="00467BF2">
        <w:rPr>
          <w:rFonts w:cs="Arial"/>
          <w:sz w:val="22"/>
          <w:szCs w:val="22"/>
        </w:rPr>
        <w:t xml:space="preserve"> </w:t>
      </w:r>
      <w:r w:rsidR="00467BF2" w:rsidRPr="00C1724F">
        <w:rPr>
          <w:rFonts w:cs="Arial"/>
          <w:sz w:val="22"/>
          <w:szCs w:val="22"/>
        </w:rPr>
        <w:t xml:space="preserve">Sind aufgrund besonderer Gegebenheiten höhere Kosten zu erwarten, werden diese zwischen den Vertragsparteien gesondert vereinbart und </w:t>
      </w:r>
      <w:r w:rsidR="00467BF2">
        <w:rPr>
          <w:rFonts w:cs="Arial"/>
          <w:sz w:val="22"/>
          <w:szCs w:val="22"/>
        </w:rPr>
        <w:t xml:space="preserve">nach tatsächlichem Aufwand </w:t>
      </w:r>
      <w:r w:rsidR="00467BF2" w:rsidRPr="00C1724F">
        <w:rPr>
          <w:rFonts w:cs="Arial"/>
          <w:sz w:val="22"/>
          <w:szCs w:val="22"/>
        </w:rPr>
        <w:t>berechnet.</w:t>
      </w:r>
      <w:r w:rsidR="00467BF2" w:rsidRPr="00264698">
        <w:rPr>
          <w:rFonts w:cs="Arial"/>
          <w:sz w:val="22"/>
          <w:szCs w:val="22"/>
        </w:rPr>
        <w:t xml:space="preserve"> </w:t>
      </w:r>
      <w:r w:rsidR="00CF6416" w:rsidRPr="00264698">
        <w:rPr>
          <w:rFonts w:cs="Arial"/>
          <w:sz w:val="22"/>
          <w:szCs w:val="22"/>
        </w:rPr>
        <w:t xml:space="preserve">Auf Verlangen des </w:t>
      </w:r>
      <w:r w:rsidR="00C76E4D" w:rsidRPr="00264698">
        <w:rPr>
          <w:rFonts w:cs="Arial"/>
          <w:sz w:val="22"/>
          <w:szCs w:val="22"/>
        </w:rPr>
        <w:t>Transportkunden</w:t>
      </w:r>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r w:rsidR="00C76E4D" w:rsidRPr="00264698">
        <w:rPr>
          <w:rFonts w:cs="Arial"/>
          <w:sz w:val="22"/>
          <w:szCs w:val="22"/>
        </w:rPr>
        <w:t>Transportkunden</w:t>
      </w:r>
      <w:r w:rsidR="00CF6416" w:rsidRPr="00264698">
        <w:rPr>
          <w:rFonts w:cs="Arial"/>
          <w:sz w:val="22"/>
          <w:szCs w:val="22"/>
        </w:rPr>
        <w:t>, geringere Kosten nachzuweisen, bleibt unberührt.</w:t>
      </w:r>
      <w:r w:rsidR="0031495B" w:rsidRPr="00264698">
        <w:rPr>
          <w:rFonts w:cs="Arial"/>
          <w:sz w:val="20"/>
          <w:szCs w:val="20"/>
        </w:rPr>
        <w:t xml:space="preserve"> </w:t>
      </w:r>
    </w:p>
    <w:p w14:paraId="6112EBCD" w14:textId="77777777" w:rsidR="00E363F4" w:rsidRDefault="00CF6416" w:rsidP="00CF6416">
      <w:pPr>
        <w:numPr>
          <w:ilvl w:val="0"/>
          <w:numId w:val="5"/>
        </w:numPr>
        <w:tabs>
          <w:tab w:val="left" w:pos="0"/>
        </w:tabs>
        <w:spacing w:before="120" w:line="240" w:lineRule="atLeast"/>
        <w:jc w:val="both"/>
        <w:rPr>
          <w:rFonts w:cs="Arial"/>
          <w:sz w:val="22"/>
          <w:szCs w:val="22"/>
        </w:rPr>
      </w:pPr>
      <w:r w:rsidRPr="00264698">
        <w:rPr>
          <w:rFonts w:cs="Arial"/>
          <w:sz w:val="22"/>
          <w:szCs w:val="22"/>
        </w:rPr>
        <w:t xml:space="preserve">Der Netzbetreiber haftet nicht für die Schäden, die dem </w:t>
      </w:r>
      <w:r w:rsidR="00C76E4D" w:rsidRPr="00264698">
        <w:rPr>
          <w:rFonts w:cs="Arial"/>
          <w:sz w:val="22"/>
          <w:szCs w:val="22"/>
        </w:rPr>
        <w:t>Transportkunden</w:t>
      </w:r>
      <w:r w:rsidRPr="00264698">
        <w:rPr>
          <w:rFonts w:cs="Arial"/>
          <w:sz w:val="22"/>
          <w:szCs w:val="22"/>
        </w:rPr>
        <w:t xml:space="preserve"> dadurch entstehen, dass die Unterbrechung oder die Wiederherstellung der Netznutzung aus Gründen, die der Netzbetreiber nicht zu vertreten hat, nicht möglich ist.</w:t>
      </w:r>
      <w:r w:rsidR="00E363F4" w:rsidRPr="00264698">
        <w:rPr>
          <w:rFonts w:cs="Arial"/>
          <w:sz w:val="22"/>
          <w:szCs w:val="22"/>
        </w:rPr>
        <w:t xml:space="preserve"> </w:t>
      </w:r>
    </w:p>
    <w:p w14:paraId="2DECFF40" w14:textId="79126214" w:rsidR="00E363F4" w:rsidRDefault="00264698" w:rsidP="00CA0BBD">
      <w:pPr>
        <w:numPr>
          <w:ilvl w:val="0"/>
          <w:numId w:val="5"/>
        </w:numPr>
        <w:tabs>
          <w:tab w:val="left" w:pos="0"/>
        </w:tabs>
        <w:spacing w:before="120" w:line="240" w:lineRule="atLeast"/>
        <w:jc w:val="both"/>
        <w:rPr>
          <w:rFonts w:cs="Arial"/>
          <w:sz w:val="22"/>
          <w:szCs w:val="22"/>
        </w:rPr>
      </w:pPr>
      <w:r w:rsidRPr="00F30456">
        <w:rPr>
          <w:rFonts w:cs="Arial"/>
          <w:sz w:val="22"/>
          <w:szCs w:val="22"/>
        </w:rPr>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 xml:space="preserve">trifft der Netzbetreiber in seinen </w:t>
      </w:r>
      <w:r w:rsidR="005B0010">
        <w:rPr>
          <w:rFonts w:cs="Arial"/>
          <w:sz w:val="22"/>
          <w:szCs w:val="22"/>
        </w:rPr>
        <w:t>E</w:t>
      </w:r>
      <w:r w:rsidRPr="00F30456">
        <w:rPr>
          <w:rFonts w:cs="Arial"/>
          <w:sz w:val="22"/>
          <w:szCs w:val="22"/>
        </w:rPr>
        <w:t>rgänzenden Geschäftsbedingungen.</w:t>
      </w:r>
    </w:p>
    <w:p w14:paraId="5B0DB9FE" w14:textId="4CAC6D4B" w:rsidR="003D02AA" w:rsidRPr="005C2145" w:rsidRDefault="005B0010" w:rsidP="003D02AA">
      <w:pPr>
        <w:pStyle w:val="Formatvorlage1"/>
        <w:numPr>
          <w:ilvl w:val="0"/>
          <w:numId w:val="5"/>
        </w:numPr>
        <w:rPr>
          <w:vertAlign w:val="baseline"/>
        </w:rPr>
      </w:pPr>
      <w:r>
        <w:rPr>
          <w:vertAlign w:val="baseline"/>
        </w:rPr>
        <w:t xml:space="preserve">Ziffer 6 Satz </w:t>
      </w:r>
      <w:r w:rsidR="00AE2E70">
        <w:rPr>
          <w:vertAlign w:val="baseline"/>
        </w:rPr>
        <w:t>5</w:t>
      </w:r>
      <w:r>
        <w:rPr>
          <w:vertAlign w:val="baseline"/>
        </w:rPr>
        <w:t xml:space="preserve"> gilt </w:t>
      </w:r>
      <w:r w:rsidR="00227E6B">
        <w:rPr>
          <w:vertAlign w:val="baseline"/>
        </w:rPr>
        <w:t xml:space="preserve">hinsichtlich der Anweisungen im Rahmen der elektronischen Marktkommunikation </w:t>
      </w:r>
      <w:r>
        <w:rPr>
          <w:vertAlign w:val="baseline"/>
        </w:rPr>
        <w:t>ab dem 01.10.2023.</w:t>
      </w:r>
    </w:p>
    <w:p w14:paraId="780903AD" w14:textId="77777777" w:rsidR="00BF4D72" w:rsidRPr="0063678C" w:rsidRDefault="00261427" w:rsidP="009B49D9">
      <w:pPr>
        <w:pStyle w:val="berschrift3"/>
        <w:jc w:val="both"/>
        <w:rPr>
          <w:sz w:val="22"/>
          <w:szCs w:val="22"/>
        </w:rPr>
      </w:pPr>
      <w:bookmarkStart w:id="27" w:name="_Toc446244941"/>
      <w:bookmarkStart w:id="28" w:name="_Toc99480701"/>
      <w:r w:rsidRPr="00877F78">
        <w:rPr>
          <w:sz w:val="22"/>
          <w:szCs w:val="22"/>
        </w:rPr>
        <w:t xml:space="preserve">§ </w:t>
      </w:r>
      <w:r w:rsidR="005D62CA">
        <w:rPr>
          <w:sz w:val="22"/>
          <w:szCs w:val="22"/>
        </w:rPr>
        <w:t>12</w:t>
      </w:r>
      <w:r w:rsidR="006B29D0">
        <w:rPr>
          <w:sz w:val="22"/>
          <w:szCs w:val="22"/>
        </w:rPr>
        <w:t xml:space="preserve"> </w:t>
      </w:r>
      <w:r w:rsidRPr="004D18B7">
        <w:rPr>
          <w:sz w:val="22"/>
          <w:szCs w:val="22"/>
        </w:rPr>
        <w:t>Vorauszahlung</w:t>
      </w:r>
      <w:bookmarkEnd w:id="27"/>
      <w:bookmarkEnd w:id="28"/>
    </w:p>
    <w:p w14:paraId="0CDF045A" w14:textId="77777777"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r w:rsidR="00C76E4D">
        <w:rPr>
          <w:rFonts w:cs="Arial"/>
          <w:sz w:val="22"/>
          <w:szCs w:val="22"/>
        </w:rPr>
        <w:t>Transportkunden</w:t>
      </w:r>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r w:rsidR="00C76E4D">
        <w:rPr>
          <w:rFonts w:cs="Arial"/>
          <w:sz w:val="22"/>
          <w:szCs w:val="22"/>
        </w:rPr>
        <w:t>Transportkunden</w:t>
      </w:r>
      <w:r w:rsidRPr="00903218">
        <w:rPr>
          <w:rFonts w:cs="Arial"/>
          <w:sz w:val="22"/>
          <w:szCs w:val="22"/>
        </w:rPr>
        <w:t xml:space="preserve"> in Textform zu begründen. </w:t>
      </w:r>
    </w:p>
    <w:p w14:paraId="62B6B7F3" w14:textId="77777777"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14:paraId="16BBDB84" w14:textId="77777777"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r w:rsidR="00C76E4D">
        <w:rPr>
          <w:rFonts w:cs="Arial"/>
          <w:sz w:val="22"/>
          <w:szCs w:val="22"/>
        </w:rPr>
        <w:t>Transportkunde</w:t>
      </w:r>
      <w:r w:rsidRPr="00CB4860">
        <w:rPr>
          <w:rFonts w:cs="Arial"/>
          <w:sz w:val="22"/>
          <w:szCs w:val="22"/>
        </w:rPr>
        <w:t xml:space="preserve"> mit einer fälligen Zahlung </w:t>
      </w:r>
      <w:r w:rsidR="000C4E5A" w:rsidRPr="00CB4860">
        <w:rPr>
          <w:rFonts w:cs="Arial"/>
          <w:sz w:val="22"/>
          <w:szCs w:val="22"/>
        </w:rPr>
        <w:t>in nicht unerheblicher Höhe</w:t>
      </w:r>
      <w:r w:rsidR="001F509A" w:rsidRPr="001F509A">
        <w:rPr>
          <w:rFonts w:cs="Arial"/>
          <w:bCs/>
          <w:iCs/>
          <w:sz w:val="22"/>
          <w:szCs w:val="22"/>
        </w:rPr>
        <w:t>, d.h. in der Regel mindestens in Höhe von 10% des Entgelts des Transportkunden der letzten Rechnung oder Abschlagszahlungsforderung,</w:t>
      </w:r>
      <w:r w:rsidR="000C4E5A" w:rsidRPr="00CB4860">
        <w:rPr>
          <w:rFonts w:cs="Arial"/>
          <w:sz w:val="22"/>
          <w:szCs w:val="22"/>
        </w:rPr>
        <w:t xml:space="preserve"> </w:t>
      </w:r>
      <w:r w:rsidRPr="003A0254">
        <w:rPr>
          <w:rFonts w:cs="Arial"/>
          <w:sz w:val="22"/>
          <w:szCs w:val="22"/>
        </w:rPr>
        <w:t xml:space="preserve">in Verzug geraten ist und auch auf eine nach Verzugseintritt erklärte Aufforderung </w:t>
      </w:r>
      <w:r w:rsidR="00702C76">
        <w:rPr>
          <w:rFonts w:cs="Arial"/>
          <w:sz w:val="22"/>
          <w:szCs w:val="22"/>
        </w:rPr>
        <w:t xml:space="preserve">in Textform </w:t>
      </w:r>
      <w:r w:rsidRPr="003A0254">
        <w:rPr>
          <w:rFonts w:cs="Arial"/>
          <w:sz w:val="22"/>
          <w:szCs w:val="22"/>
        </w:rPr>
        <w:t>unter Androhung des Entzuges des Netzzugangs nicht oder nicht vollständig gezahlt hat,</w:t>
      </w:r>
    </w:p>
    <w:p w14:paraId="3FE1228E" w14:textId="77777777"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pace="preserve"> zweimal in zwölf Monaten mit einer fälligen Zahlung in Verzug war,</w:t>
      </w:r>
    </w:p>
    <w:p w14:paraId="3AF785FE" w14:textId="77777777"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r w:rsidR="00C76E4D">
        <w:rPr>
          <w:rFonts w:cs="Arial"/>
          <w:sz w:val="22"/>
          <w:szCs w:val="22"/>
        </w:rPr>
        <w:t>Transportkunden</w:t>
      </w:r>
      <w:r w:rsidRPr="009C5686">
        <w:rPr>
          <w:rFonts w:cs="Arial"/>
          <w:sz w:val="22"/>
          <w:szCs w:val="22"/>
        </w:rPr>
        <w:t xml:space="preserve"> Zwangsvollstreckungsmaßnahmen wegen G</w:t>
      </w:r>
      <w:r w:rsidRPr="00623097">
        <w:rPr>
          <w:rFonts w:cs="Arial"/>
          <w:sz w:val="22"/>
          <w:szCs w:val="22"/>
        </w:rPr>
        <w:t>eldforderungen (§§ 803 - 882a Z</w:t>
      </w:r>
      <w:r w:rsidR="00927C08">
        <w:rPr>
          <w:rFonts w:cs="Arial"/>
          <w:sz w:val="22"/>
          <w:szCs w:val="22"/>
        </w:rPr>
        <w:t>ivilprozessordnung (ZPO)</w:t>
      </w:r>
      <w:r w:rsidRPr="00623097">
        <w:rPr>
          <w:rFonts w:cs="Arial"/>
          <w:sz w:val="22"/>
          <w:szCs w:val="22"/>
        </w:rPr>
        <w:t>)</w:t>
      </w:r>
      <w:r w:rsidR="000B1F03" w:rsidRPr="00623097">
        <w:rPr>
          <w:rFonts w:cs="Arial"/>
          <w:sz w:val="22"/>
          <w:szCs w:val="22"/>
        </w:rPr>
        <w:t xml:space="preserve"> </w:t>
      </w:r>
      <w:r w:rsidRPr="00634737">
        <w:rPr>
          <w:rFonts w:cs="Arial"/>
          <w:sz w:val="22"/>
          <w:szCs w:val="22"/>
        </w:rPr>
        <w:t>eingeleitet sind,</w:t>
      </w:r>
    </w:p>
    <w:p w14:paraId="44DC2409" w14:textId="77777777"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r w:rsidR="00C76E4D" w:rsidRPr="000B6AE1">
        <w:rPr>
          <w:rFonts w:cs="Arial"/>
          <w:sz w:val="22"/>
          <w:szCs w:val="22"/>
        </w:rPr>
        <w:t>Transportkunde</w:t>
      </w:r>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r w:rsidR="00590916">
        <w:rPr>
          <w:rFonts w:cs="Arial"/>
          <w:sz w:val="22"/>
          <w:szCs w:val="22"/>
          <w:highlight w:val="yellow"/>
        </w:rPr>
        <w:t xml:space="preserve"> </w:t>
      </w:r>
    </w:p>
    <w:p w14:paraId="4C5F410A" w14:textId="77777777"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r w:rsidR="00C76E4D">
        <w:rPr>
          <w:rFonts w:cs="Arial"/>
          <w:sz w:val="22"/>
          <w:szCs w:val="22"/>
        </w:rPr>
        <w:t>Transportkunden</w:t>
      </w:r>
      <w:r w:rsidR="000B1F03" w:rsidRPr="00712183">
        <w:rPr>
          <w:rFonts w:cs="Arial"/>
          <w:sz w:val="22"/>
          <w:szCs w:val="22"/>
        </w:rPr>
        <w:t xml:space="preserve"> in den letzten zwei Jahren vor Abschluss dieses Vertrages nach §</w:t>
      </w:r>
      <w:r w:rsidR="00595212" w:rsidRPr="00712183">
        <w:rPr>
          <w:rFonts w:cs="Arial"/>
          <w:sz w:val="22"/>
          <w:szCs w:val="22"/>
        </w:rPr>
        <w:t> </w:t>
      </w:r>
      <w:r w:rsidR="006742EA">
        <w:rPr>
          <w:rFonts w:cs="Arial"/>
          <w:sz w:val="22"/>
          <w:szCs w:val="22"/>
        </w:rPr>
        <w:t>14</w:t>
      </w:r>
      <w:r w:rsidR="006742EA" w:rsidRPr="00712183">
        <w:rPr>
          <w:rFonts w:cs="Arial"/>
          <w:sz w:val="22"/>
          <w:szCs w:val="22"/>
        </w:rPr>
        <w:t xml:space="preserve"> </w:t>
      </w:r>
      <w:r w:rsidR="00684541">
        <w:rPr>
          <w:rFonts w:cs="Arial"/>
          <w:sz w:val="22"/>
          <w:szCs w:val="22"/>
        </w:rPr>
        <w:t>Ziffer</w:t>
      </w:r>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14:paraId="7D4EF951" w14:textId="5A6672CA"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r w:rsidR="00CD69E1" w:rsidRPr="00993D86">
        <w:rPr>
          <w:rFonts w:cs="Arial"/>
          <w:sz w:val="22"/>
          <w:szCs w:val="22"/>
        </w:rPr>
        <w:t>Der Netzbetreiber bestimmt den Zeitpunkt der ersten Vorauszahlung und teilt dem</w:t>
      </w:r>
      <w:r w:rsidR="00CD69E1">
        <w:rPr>
          <w:rFonts w:cs="Arial"/>
          <w:sz w:val="22"/>
          <w:szCs w:val="22"/>
        </w:rPr>
        <w:t xml:space="preserve"> Transportkunden</w:t>
      </w:r>
      <w:r w:rsidR="00CD69E1" w:rsidRPr="00993D86">
        <w:rPr>
          <w:rFonts w:cs="Arial"/>
          <w:sz w:val="22"/>
          <w:szCs w:val="22"/>
        </w:rPr>
        <w:t xml:space="preserve"> die Forderung mit einer Frist von mindestens 7 Werktagen zum Fälligkeitstermin mit.</w:t>
      </w:r>
    </w:p>
    <w:p w14:paraId="59BF8CB7" w14:textId="7E5E839F"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w:t>
      </w:r>
      <w:r w:rsidR="00CD69E1">
        <w:rPr>
          <w:rFonts w:cs="Arial"/>
          <w:sz w:val="22"/>
          <w:szCs w:val="22"/>
        </w:rPr>
        <w:t xml:space="preserve">halbmonatliche </w:t>
      </w:r>
      <w:r w:rsidRPr="00003763">
        <w:rPr>
          <w:rFonts w:cs="Arial"/>
          <w:sz w:val="22"/>
          <w:szCs w:val="22"/>
        </w:rPr>
        <w:t xml:space="preserve">oder wöchentliche Vorauszahlung verlangen. </w:t>
      </w:r>
    </w:p>
    <w:p w14:paraId="514D223B" w14:textId="0C1B125A" w:rsidR="004E70E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 xml:space="preserve">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w:t>
      </w:r>
      <w:r w:rsidR="009111A8">
        <w:rPr>
          <w:rFonts w:cs="Arial"/>
          <w:sz w:val="22"/>
          <w:szCs w:val="22"/>
        </w:rPr>
        <w:t>m</w:t>
      </w:r>
      <w:r w:rsidR="006029E3">
        <w:rPr>
          <w:rFonts w:cs="Arial"/>
          <w:sz w:val="22"/>
          <w:szCs w:val="22"/>
        </w:rPr>
        <w:t xml:space="preserve">it einer Frist von 7 </w:t>
      </w:r>
      <w:r w:rsidRPr="005D62CA">
        <w:rPr>
          <w:rFonts w:cs="Arial"/>
          <w:sz w:val="22"/>
          <w:szCs w:val="22"/>
        </w:rPr>
        <w:t>Werktag</w:t>
      </w:r>
      <w:r w:rsidR="006029E3">
        <w:rPr>
          <w:rFonts w:cs="Arial"/>
          <w:sz w:val="22"/>
          <w:szCs w:val="22"/>
        </w:rPr>
        <w:t>en</w:t>
      </w:r>
      <w:r w:rsidRPr="005D62CA">
        <w:rPr>
          <w:rFonts w:cs="Arial"/>
          <w:sz w:val="22"/>
          <w:szCs w:val="22"/>
        </w:rPr>
        <w:t xml:space="preserve"> (Werktagsdefinition gemäß Ge</w:t>
      </w:r>
      <w:r w:rsidR="00927C08">
        <w:rPr>
          <w:rFonts w:cs="Arial"/>
          <w:sz w:val="22"/>
          <w:szCs w:val="22"/>
        </w:rPr>
        <w:t>L</w:t>
      </w:r>
      <w:r w:rsidRPr="005D62CA">
        <w:rPr>
          <w:rFonts w:cs="Arial"/>
          <w:sz w:val="22"/>
          <w:szCs w:val="22"/>
        </w:rPr>
        <w:t xml:space="preserve">i Gas-Festlegung) </w:t>
      </w:r>
      <w:r w:rsidR="006029E3" w:rsidRPr="001A5405">
        <w:rPr>
          <w:rFonts w:cs="Arial"/>
          <w:sz w:val="22"/>
          <w:szCs w:val="22"/>
        </w:rPr>
        <w:t>auf das Wirksamwerden der</w:t>
      </w:r>
      <w:r w:rsidR="006029E3">
        <w:rPr>
          <w:rFonts w:cs="Arial"/>
          <w:sz w:val="22"/>
          <w:szCs w:val="22"/>
        </w:rPr>
        <w:t xml:space="preserve"> Änderungen </w:t>
      </w:r>
      <w:r w:rsidRPr="005D62CA">
        <w:rPr>
          <w:rFonts w:cs="Arial"/>
          <w:sz w:val="22"/>
          <w:szCs w:val="22"/>
        </w:rPr>
        <w:t>mit.</w:t>
      </w:r>
    </w:p>
    <w:p w14:paraId="24861EBA" w14:textId="5182A429" w:rsidR="00261427" w:rsidRPr="005D62C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 xml:space="preserve">Die </w:t>
      </w:r>
      <w:r w:rsidR="006029E3">
        <w:rPr>
          <w:rFonts w:cs="Arial"/>
          <w:sz w:val="22"/>
          <w:szCs w:val="22"/>
        </w:rPr>
        <w:t xml:space="preserve">folgende monatliche </w:t>
      </w:r>
      <w:r w:rsidRPr="005D62CA">
        <w:rPr>
          <w:rFonts w:cs="Arial"/>
          <w:sz w:val="22"/>
          <w:szCs w:val="22"/>
        </w:rPr>
        <w:t xml:space="preserve">Vorauszahlung ist mit Wertstellung zum 3. Werktag des </w:t>
      </w:r>
      <w:r w:rsidR="006029E3">
        <w:rPr>
          <w:rFonts w:cs="Arial"/>
          <w:sz w:val="22"/>
          <w:szCs w:val="22"/>
        </w:rPr>
        <w:t>M</w:t>
      </w:r>
      <w:r w:rsidRPr="005D62CA">
        <w:rPr>
          <w:rFonts w:cs="Arial"/>
          <w:sz w:val="22"/>
          <w:szCs w:val="22"/>
        </w:rPr>
        <w:t>onats</w:t>
      </w:r>
      <w:r w:rsidR="006029E3">
        <w:rPr>
          <w:rFonts w:cs="Arial"/>
          <w:sz w:val="22"/>
          <w:szCs w:val="22"/>
        </w:rPr>
        <w:t>,</w:t>
      </w:r>
      <w:r w:rsidR="009111A8">
        <w:rPr>
          <w:rFonts w:cs="Arial"/>
          <w:sz w:val="22"/>
          <w:szCs w:val="22"/>
        </w:rPr>
        <w:t xml:space="preserve"> </w:t>
      </w:r>
      <w:r w:rsidRPr="005D62CA">
        <w:rPr>
          <w:rFonts w:cs="Arial"/>
          <w:sz w:val="22"/>
          <w:szCs w:val="22"/>
        </w:rPr>
        <w:t>bei wöchentlicher</w:t>
      </w:r>
      <w:r w:rsidR="005D62CA">
        <w:rPr>
          <w:rFonts w:cs="Arial"/>
          <w:sz w:val="22"/>
          <w:szCs w:val="22"/>
        </w:rPr>
        <w:t xml:space="preserve"> </w:t>
      </w:r>
      <w:r w:rsidRPr="005D62CA">
        <w:rPr>
          <w:rFonts w:cs="Arial"/>
          <w:sz w:val="22"/>
          <w:szCs w:val="22"/>
        </w:rPr>
        <w:t xml:space="preserve">Vorauszahlung bis zum letzten Werktag der der </w:t>
      </w:r>
      <w:r w:rsidR="006029E3">
        <w:rPr>
          <w:rFonts w:cs="Arial"/>
          <w:sz w:val="22"/>
          <w:szCs w:val="22"/>
        </w:rPr>
        <w:t>Kalender</w:t>
      </w:r>
      <w:r w:rsidRPr="005D62CA">
        <w:rPr>
          <w:rFonts w:cs="Arial"/>
          <w:sz w:val="22"/>
          <w:szCs w:val="22"/>
        </w:rPr>
        <w:t xml:space="preserve">woche vorausgehenden Woche </w:t>
      </w:r>
      <w:r w:rsidR="006029E3">
        <w:rPr>
          <w:rFonts w:cs="Arial"/>
          <w:sz w:val="22"/>
          <w:szCs w:val="22"/>
        </w:rPr>
        <w:t>sowie</w:t>
      </w:r>
      <w:r w:rsidR="006029E3" w:rsidRPr="005D62CA">
        <w:rPr>
          <w:rFonts w:cs="Arial"/>
          <w:sz w:val="22"/>
          <w:szCs w:val="22"/>
        </w:rPr>
        <w:t xml:space="preserve"> </w:t>
      </w:r>
      <w:r w:rsidR="006029E3">
        <w:rPr>
          <w:rFonts w:cs="Arial"/>
          <w:sz w:val="22"/>
          <w:szCs w:val="22"/>
        </w:rPr>
        <w:t>bei halbmonatlicher</w:t>
      </w:r>
      <w:r w:rsidR="006029E3" w:rsidRPr="003D7CD2">
        <w:t xml:space="preserve"> </w:t>
      </w:r>
      <w:r w:rsidR="006029E3" w:rsidRPr="003D7CD2">
        <w:rPr>
          <w:rFonts w:cs="Arial"/>
          <w:sz w:val="22"/>
          <w:szCs w:val="22"/>
        </w:rPr>
        <w:t>Vorauszahlung jeweils zum letzten Werktag des Vormonats und zum letzten Werktag vor Monatsmitte (§ 192 BGB)</w:t>
      </w:r>
      <w:r w:rsidR="006029E3">
        <w:rPr>
          <w:rFonts w:cs="Arial"/>
          <w:sz w:val="22"/>
          <w:szCs w:val="22"/>
        </w:rPr>
        <w:t xml:space="preserve"> </w:t>
      </w:r>
      <w:r w:rsidRPr="005D62CA">
        <w:rPr>
          <w:rFonts w:cs="Arial"/>
          <w:sz w:val="22"/>
          <w:szCs w:val="22"/>
        </w:rPr>
        <w:t>auf das Konto des Netzbetreibers zu zahlen.</w:t>
      </w:r>
    </w:p>
    <w:p w14:paraId="48557BAB" w14:textId="1BE0A551" w:rsidR="00261427" w:rsidRPr="005D62CA" w:rsidRDefault="00621942" w:rsidP="004B1300">
      <w:pPr>
        <w:numPr>
          <w:ilvl w:val="1"/>
          <w:numId w:val="7"/>
        </w:numPr>
        <w:jc w:val="both"/>
        <w:rPr>
          <w:rFonts w:cs="Arial"/>
          <w:sz w:val="22"/>
          <w:szCs w:val="22"/>
        </w:rPr>
      </w:pPr>
      <w:r w:rsidRPr="005D62CA">
        <w:rPr>
          <w:rFonts w:cs="Arial"/>
          <w:sz w:val="22"/>
          <w:szCs w:val="22"/>
        </w:rPr>
        <w:t xml:space="preserve">Die Vorauszahlung wird monatlich bis zum </w:t>
      </w:r>
      <w:r w:rsidR="00296C15">
        <w:rPr>
          <w:rFonts w:cs="Arial"/>
          <w:sz w:val="22"/>
          <w:szCs w:val="22"/>
        </w:rPr>
        <w:t xml:space="preserve">letzten </w:t>
      </w:r>
      <w:r w:rsidRPr="005D62CA">
        <w:rPr>
          <w:rFonts w:cs="Arial"/>
          <w:sz w:val="22"/>
          <w:szCs w:val="22"/>
        </w:rPr>
        <w:t>Werktag des Folgemonats abgerechnet und entstehende Salden werden ohne Verrechnung mit anderen Forderungen monatlich ausgeglichen.</w:t>
      </w:r>
    </w:p>
    <w:p w14:paraId="12762E82" w14:textId="77777777" w:rsidR="00261427" w:rsidRPr="005D62CA" w:rsidRDefault="00621942" w:rsidP="00592500">
      <w:pPr>
        <w:numPr>
          <w:ilvl w:val="1"/>
          <w:numId w:val="7"/>
        </w:numPr>
        <w:jc w:val="both"/>
        <w:rPr>
          <w:rFonts w:cs="Arial"/>
          <w:sz w:val="22"/>
          <w:szCs w:val="22"/>
        </w:rPr>
      </w:pPr>
      <w:r w:rsidRPr="005D62CA">
        <w:rPr>
          <w:rFonts w:cs="Arial"/>
          <w:sz w:val="22"/>
          <w:szCs w:val="22"/>
        </w:rPr>
        <w:t xml:space="preserve">Wenn die Vorauszahlung nicht, nicht vollständig oder nicht fristgerecht gezahlt wird, ist der Netzbetreiber zur fristlosen Kündigung </w:t>
      </w:r>
      <w:r w:rsidR="008D441E">
        <w:rPr>
          <w:rFonts w:cs="Arial"/>
          <w:sz w:val="22"/>
          <w:szCs w:val="22"/>
        </w:rPr>
        <w:t>dieses Vertrages</w:t>
      </w:r>
      <w:r w:rsidRPr="005D62CA">
        <w:rPr>
          <w:rFonts w:cs="Arial"/>
          <w:sz w:val="22"/>
          <w:szCs w:val="22"/>
        </w:rPr>
        <w:t xml:space="preserve"> berechtigt. </w:t>
      </w:r>
    </w:p>
    <w:p w14:paraId="5AE2ED78" w14:textId="77777777" w:rsidR="00261427" w:rsidRDefault="00261427" w:rsidP="00D434CF">
      <w:pPr>
        <w:numPr>
          <w:ilvl w:val="0"/>
          <w:numId w:val="7"/>
        </w:numPr>
        <w:tabs>
          <w:tab w:val="left" w:pos="0"/>
        </w:tabs>
        <w:spacing w:before="120" w:line="240" w:lineRule="atLeast"/>
        <w:jc w:val="both"/>
        <w:rP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r w:rsidR="006742EA">
        <w:rPr>
          <w:rFonts w:cs="Arial"/>
          <w:sz w:val="22"/>
          <w:szCs w:val="22"/>
        </w:rPr>
        <w:t>r</w:t>
      </w:r>
      <w:r w:rsidR="00B83649" w:rsidRPr="00D70197">
        <w:rPr>
          <w:rFonts w:cs="Arial"/>
          <w:sz w:val="22"/>
          <w:szCs w:val="22"/>
        </w:rPr>
        <w:t xml:space="preserve"> </w:t>
      </w:r>
      <w:r w:rsidR="00684541">
        <w:rPr>
          <w:rFonts w:cs="Arial"/>
          <w:sz w:val="22"/>
          <w:szCs w:val="22"/>
        </w:rPr>
        <w:t>Ziffer</w:t>
      </w:r>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Transportkunde kann eine Einstellung der Vorauszahlungsregelung frühestens nach achtzehn Monaten fordern, sofern kein begründeter Fall im Sinne </w:t>
      </w:r>
      <w:r w:rsidR="00684541">
        <w:rPr>
          <w:rFonts w:cs="Arial"/>
          <w:sz w:val="22"/>
          <w:szCs w:val="22"/>
        </w:rPr>
        <w:t>der Ziffer</w:t>
      </w:r>
      <w:r w:rsidR="00621942" w:rsidRPr="005D62CA">
        <w:rPr>
          <w:rFonts w:cs="Arial"/>
          <w:sz w:val="22"/>
          <w:szCs w:val="22"/>
        </w:rPr>
        <w:t xml:space="preserve"> 1 mehr vorliegt und innerhalb der vorangegangenen achtzehn Monate die Zahlungen des Transportkunden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r w:rsidR="00C76E4D">
        <w:rPr>
          <w:rFonts w:cs="Arial"/>
          <w:sz w:val="22"/>
          <w:szCs w:val="22"/>
        </w:rPr>
        <w:t>Transportkunden</w:t>
      </w:r>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14:paraId="4EBCEFEE" w14:textId="77777777" w:rsidR="00261427" w:rsidRPr="00634737" w:rsidRDefault="00261427" w:rsidP="00361CF2">
      <w:pPr>
        <w:pStyle w:val="berschrift3"/>
        <w:jc w:val="both"/>
        <w:rPr>
          <w:sz w:val="22"/>
          <w:szCs w:val="22"/>
        </w:rPr>
      </w:pPr>
      <w:bookmarkStart w:id="29" w:name="_Toc99480702"/>
      <w:bookmarkStart w:id="30" w:name="_Toc446244942"/>
      <w:r w:rsidRPr="003A0254">
        <w:rPr>
          <w:sz w:val="22"/>
          <w:szCs w:val="22"/>
        </w:rPr>
        <w:t xml:space="preserve">§ </w:t>
      </w:r>
      <w:r w:rsidR="005D62CA">
        <w:rPr>
          <w:sz w:val="22"/>
          <w:szCs w:val="22"/>
        </w:rPr>
        <w:t>13</w:t>
      </w:r>
      <w:r w:rsidR="005D62CA" w:rsidRPr="00623097">
        <w:rPr>
          <w:sz w:val="22"/>
          <w:szCs w:val="22"/>
        </w:rPr>
        <w:t xml:space="preserve"> </w:t>
      </w:r>
      <w:r w:rsidRPr="00623097">
        <w:rPr>
          <w:sz w:val="22"/>
          <w:szCs w:val="22"/>
        </w:rPr>
        <w:t>Haftung</w:t>
      </w:r>
      <w:bookmarkEnd w:id="29"/>
      <w:r w:rsidR="000377AD" w:rsidRPr="00623097">
        <w:rPr>
          <w:sz w:val="22"/>
          <w:szCs w:val="22"/>
        </w:rPr>
        <w:t xml:space="preserve"> </w:t>
      </w:r>
      <w:bookmarkEnd w:id="30"/>
    </w:p>
    <w:p w14:paraId="414D6769" w14:textId="77777777"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r w:rsidR="00C76E4D">
        <w:rPr>
          <w:rFonts w:cs="Arial"/>
          <w:sz w:val="22"/>
          <w:szCs w:val="22"/>
        </w:rPr>
        <w:t>Transportkunden</w:t>
      </w:r>
      <w:r w:rsidRPr="00BE0733">
        <w:rPr>
          <w:rFonts w:cs="Arial"/>
          <w:sz w:val="22"/>
          <w:szCs w:val="22"/>
        </w:rPr>
        <w:t xml:space="preserve"> durch die Unterbrechung oder durch Unregelmäßigkeiten in der Netznutzung in allen </w:t>
      </w:r>
      <w:r w:rsidR="000D0DC0" w:rsidRPr="00BE0733">
        <w:rPr>
          <w:rFonts w:cs="Arial"/>
          <w:sz w:val="22"/>
          <w:szCs w:val="22"/>
        </w:rPr>
        <w:t xml:space="preserve">Druckebenen </w:t>
      </w:r>
      <w:r w:rsidRPr="00850F40">
        <w:rPr>
          <w:rFonts w:cs="Arial"/>
          <w:sz w:val="22"/>
          <w:szCs w:val="22"/>
        </w:rPr>
        <w:t xml:space="preserve">entstehen, nach Maßgabe des </w:t>
      </w:r>
      <w:r w:rsidR="000D0DC0" w:rsidRPr="00AA39E5">
        <w:rPr>
          <w:rFonts w:cs="Arial"/>
          <w:sz w:val="22"/>
          <w:szCs w:val="22"/>
        </w:rPr>
        <w:t xml:space="preserve">§ 5 </w:t>
      </w:r>
      <w:r w:rsidR="000D0DC0" w:rsidRPr="00313129">
        <w:rPr>
          <w:rFonts w:cs="Arial"/>
          <w:sz w:val="22"/>
          <w:szCs w:val="22"/>
        </w:rPr>
        <w:t>GasNZV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r w:rsidR="005B2633" w:rsidRPr="00D1094D">
        <w:rPr>
          <w:rFonts w:cs="Arial"/>
          <w:sz w:val="22"/>
          <w:szCs w:val="22"/>
        </w:rPr>
        <w:t xml:space="preserve">. </w:t>
      </w:r>
      <w:r w:rsidR="00EC154C" w:rsidRPr="00A2476B">
        <w:rPr>
          <w:rFonts w:cs="Arial"/>
          <w:sz w:val="22"/>
          <w:szCs w:val="22"/>
        </w:rPr>
        <w:t>Die Vertragspartner vereinbaren</w:t>
      </w:r>
      <w:r w:rsidRPr="00A2476B">
        <w:rPr>
          <w:rFonts w:cs="Arial"/>
          <w:sz w:val="22"/>
          <w:szCs w:val="22"/>
        </w:rPr>
        <w:t xml:space="preserve"> eine Begrenzung des Haftungshöchstbetrages im Sinne von § 18 Abs. 2 S. 1, Abs. 3 S. 4 und Abs. 4 S. 1 N</w:t>
      </w:r>
      <w:r w:rsidR="00E113E4" w:rsidRPr="00A2476B">
        <w:rPr>
          <w:rFonts w:cs="Arial"/>
          <w:sz w:val="22"/>
          <w:szCs w:val="22"/>
        </w:rPr>
        <w:t>D</w:t>
      </w:r>
      <w:r w:rsidRPr="00A2476B">
        <w:rPr>
          <w:rFonts w:cs="Arial"/>
          <w:sz w:val="22"/>
          <w:szCs w:val="22"/>
        </w:rPr>
        <w:t>AV</w:t>
      </w:r>
      <w:r w:rsidR="00A2476B">
        <w:rPr>
          <w:rFonts w:cs="Arial"/>
          <w:sz w:val="22"/>
          <w:szCs w:val="22"/>
        </w:rPr>
        <w:t xml:space="preserve"> (s. Anlage 6)</w:t>
      </w:r>
      <w:r w:rsidRPr="00C3132F">
        <w:rPr>
          <w:rFonts w:cs="Arial"/>
          <w:sz w:val="22"/>
          <w:szCs w:val="22"/>
        </w:rPr>
        <w:t>.</w:t>
      </w:r>
    </w:p>
    <w:p w14:paraId="5184FAD7" w14:textId="77777777" w:rsidR="00DA0996" w:rsidRDefault="00DA0996" w:rsidP="00DA0996">
      <w:pPr>
        <w:numPr>
          <w:ilvl w:val="0"/>
          <w:numId w:val="22"/>
        </w:numPr>
        <w:tabs>
          <w:tab w:val="left" w:pos="0"/>
        </w:tabs>
        <w:spacing w:before="120" w:line="240" w:lineRule="atLeast"/>
        <w:jc w:val="both"/>
        <w:rPr>
          <w:rFonts w:cs="Arial"/>
          <w:sz w:val="22"/>
          <w:szCs w:val="22"/>
        </w:rPr>
      </w:pPr>
      <w:r w:rsidRPr="00357B9C">
        <w:rPr>
          <w:rFonts w:cs="Arial"/>
          <w:sz w:val="22"/>
          <w:szCs w:val="22"/>
        </w:rPr>
        <w:t xml:space="preserve">Die Vertragspartner haften einander für Schäden aus der </w:t>
      </w:r>
      <w:r w:rsidRPr="009D4371">
        <w:rPr>
          <w:rFonts w:cs="Arial"/>
          <w:sz w:val="22"/>
          <w:szCs w:val="22"/>
        </w:rPr>
        <w:t>Verletzung des Lebens, des Körpers oder der Gesundheit</w:t>
      </w:r>
      <w:r>
        <w:rPr>
          <w:rFonts w:cs="Arial"/>
          <w:sz w:val="22"/>
          <w:szCs w:val="22"/>
        </w:rPr>
        <w:t xml:space="preserve">, </w:t>
      </w:r>
      <w:r w:rsidRPr="00DA0996">
        <w:rPr>
          <w:rFonts w:cs="Arial"/>
          <w:sz w:val="22"/>
          <w:szCs w:val="22"/>
        </w:rPr>
        <w:t>es sei denn, der Vertragspartner selbst, dessen gesetzliche Vertreter, Erfüllungs- oder Verrichtungsgehilfen haben weder vorsätzlich noch fahrlässig gehandelt.</w:t>
      </w:r>
    </w:p>
    <w:p w14:paraId="7597DFD2" w14:textId="77777777" w:rsidR="00DA0996" w:rsidRPr="00815CFB" w:rsidRDefault="00395FB1" w:rsidP="00815CFB">
      <w:pPr>
        <w:pStyle w:val="Listenabsatz"/>
        <w:numPr>
          <w:ilvl w:val="0"/>
          <w:numId w:val="22"/>
        </w:numPr>
        <w:tabs>
          <w:tab w:val="left" w:pos="0"/>
        </w:tabs>
        <w:spacing w:before="120" w:line="240" w:lineRule="atLeast"/>
        <w:jc w:val="both"/>
        <w:rPr>
          <w:rFonts w:cs="Arial"/>
          <w:sz w:val="22"/>
          <w:szCs w:val="22"/>
        </w:rPr>
      </w:pPr>
      <w:r w:rsidRPr="00815CFB">
        <w:rPr>
          <w:rFonts w:cs="Arial"/>
          <w:sz w:val="22"/>
          <w:szCs w:val="22"/>
        </w:rPr>
        <w:t xml:space="preserve">Im Übrigen haften die Vertragspartner einander für Sach- und Vermögensschäden, die aus einer schuldhaften Verletzung ihrer Vertragspflichten herrühren. </w:t>
      </w:r>
    </w:p>
    <w:p w14:paraId="5E7273B3" w14:textId="77777777"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7CD6FF8"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F4D640B"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703E9DD"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Typischerweise ist bei Geschäften der fraglichen Art von einem Schaden in Höhe von EUR 2,5 Mio. bei Sachschäden und EUR 1,0 Mio. bei Vermögensschäden auszugehen. </w:t>
      </w:r>
    </w:p>
    <w:p w14:paraId="1C2FA465" w14:textId="77777777"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6AC279C0"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1C5AA65" w14:textId="77777777"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für sog. einfache Erfüllungsgehilfen ist im Fall grob fahrlässig verursachter Sachschäden auf EUR 1,5 Mio. und Vermögensschäden auf EUR 0,5 Mio. begrenzt.</w:t>
      </w:r>
    </w:p>
    <w:p w14:paraId="5726B0E4" w14:textId="7FF7235D" w:rsidR="00827FFA" w:rsidRDefault="00827FFA" w:rsidP="00827FFA">
      <w:pPr>
        <w:numPr>
          <w:ilvl w:val="0"/>
          <w:numId w:val="22"/>
        </w:numPr>
        <w:tabs>
          <w:tab w:val="left" w:pos="0"/>
        </w:tabs>
        <w:spacing w:before="120" w:line="240" w:lineRule="atLeast"/>
        <w:jc w:val="both"/>
        <w:rPr>
          <w:rFonts w:cs="Arial"/>
          <w:sz w:val="22"/>
          <w:szCs w:val="22"/>
        </w:rPr>
      </w:pPr>
      <w:r w:rsidRPr="00827FFA">
        <w:rPr>
          <w:rFonts w:cs="Arial"/>
          <w:sz w:val="22"/>
          <w:szCs w:val="22"/>
        </w:rPr>
        <w:t xml:space="preserve">§§ 16, 16 a EnWG bleiben unberührt. Maßnahmen nach § 16 Abs. 2 EnWG sind insbesondere auch solche, die zur Sicherstellung der Versorgung von </w:t>
      </w:r>
      <w:r w:rsidR="00980B3B">
        <w:rPr>
          <w:rFonts w:cs="Arial"/>
          <w:sz w:val="22"/>
          <w:szCs w:val="22"/>
        </w:rPr>
        <w:t xml:space="preserve">geschützten Kunden </w:t>
      </w:r>
      <w:r w:rsidRPr="00827FFA">
        <w:rPr>
          <w:rFonts w:cs="Arial"/>
          <w:sz w:val="22"/>
          <w:szCs w:val="22"/>
        </w:rPr>
        <w:t>gemäß § 53a EnWG ergriffen werden.</w:t>
      </w:r>
    </w:p>
    <w:p w14:paraId="025D109F" w14:textId="77777777" w:rsidR="00A629ED" w:rsidRPr="00AB5ACD" w:rsidRDefault="00B84ED0" w:rsidP="00A629ED">
      <w:pPr>
        <w:numPr>
          <w:ilvl w:val="0"/>
          <w:numId w:val="22"/>
        </w:numPr>
        <w:tabs>
          <w:tab w:val="left" w:pos="0"/>
        </w:tabs>
        <w:spacing w:before="120" w:line="240" w:lineRule="atLeast"/>
        <w:jc w:val="both"/>
        <w:rPr>
          <w:rFonts w:cs="Arial"/>
          <w:sz w:val="22"/>
          <w:szCs w:val="22"/>
        </w:rPr>
      </w:pPr>
      <w:r w:rsidRPr="00A77486">
        <w:rPr>
          <w:rFonts w:cs="Arial"/>
          <w:sz w:val="22"/>
          <w:szCs w:val="22"/>
        </w:rPr>
        <w:t>Eine Haftung der Vertragspartner nach zwingenden Vorschriften des Haftpflichtgesetzes und anderen Rechtsvorschriften bleibt unberührt.</w:t>
      </w:r>
    </w:p>
    <w:p w14:paraId="4753458E" w14:textId="77777777" w:rsidR="00A629ED" w:rsidRDefault="00B84ED0" w:rsidP="00A629ED">
      <w:pPr>
        <w:numPr>
          <w:ilvl w:val="0"/>
          <w:numId w:val="22"/>
        </w:numPr>
        <w:tabs>
          <w:tab w:val="left" w:pos="0"/>
        </w:tabs>
        <w:spacing w:before="120" w:line="240" w:lineRule="atLeast"/>
        <w:jc w:val="both"/>
        <w:rPr>
          <w:rFonts w:cs="Arial"/>
          <w:sz w:val="22"/>
          <w:szCs w:val="22"/>
        </w:rPr>
      </w:pPr>
      <w:r w:rsidRPr="00C76E4D">
        <w:rPr>
          <w:rFonts w:cs="Arial"/>
          <w:sz w:val="22"/>
          <w:szCs w:val="22"/>
        </w:rPr>
        <w:t xml:space="preserve">Die </w:t>
      </w:r>
      <w:r w:rsidR="00A2476B">
        <w:rPr>
          <w:rFonts w:cs="Arial"/>
          <w:sz w:val="22"/>
          <w:szCs w:val="22"/>
        </w:rPr>
        <w:t>Ziff</w:t>
      </w:r>
      <w:r w:rsidR="00684541">
        <w:rPr>
          <w:rFonts w:cs="Arial"/>
          <w:sz w:val="22"/>
          <w:szCs w:val="22"/>
        </w:rPr>
        <w:t>ern</w:t>
      </w:r>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w:t>
      </w:r>
      <w:r w:rsidR="00380342">
        <w:rPr>
          <w:rFonts w:cs="Arial"/>
          <w:sz w:val="22"/>
          <w:szCs w:val="22"/>
        </w:rPr>
        <w:t xml:space="preserve"> G</w:t>
      </w:r>
      <w:r w:rsidRPr="00C76E4D">
        <w:rPr>
          <w:rFonts w:cs="Arial"/>
          <w:sz w:val="22"/>
          <w:szCs w:val="22"/>
        </w:rPr>
        <w:t>unsten der gesetzlichen Vertreter, Arbeitnehmer sowie der Erfüllungs- oder Verrichtungsgehilfen der Vertragspartner, soweit diese für den jeweiligen Vertragspartner Anwendung finden</w:t>
      </w:r>
      <w:r w:rsidRPr="00877F78">
        <w:rPr>
          <w:rFonts w:cs="Arial"/>
          <w:sz w:val="22"/>
          <w:szCs w:val="22"/>
        </w:rPr>
        <w:t>.</w:t>
      </w:r>
    </w:p>
    <w:p w14:paraId="60A02F5B" w14:textId="77777777" w:rsidR="0088174D" w:rsidRPr="0063678C" w:rsidRDefault="0088174D" w:rsidP="005A5AD0">
      <w:pPr>
        <w:pStyle w:val="berschrift3"/>
        <w:jc w:val="both"/>
        <w:rPr>
          <w:sz w:val="22"/>
          <w:szCs w:val="22"/>
        </w:rPr>
      </w:pPr>
      <w:bookmarkStart w:id="31" w:name="_Toc446244943"/>
      <w:bookmarkStart w:id="32" w:name="_Toc99480703"/>
      <w:r w:rsidRPr="00EB2953">
        <w:rPr>
          <w:sz w:val="22"/>
          <w:szCs w:val="22"/>
        </w:rPr>
        <w:t xml:space="preserve">§ </w:t>
      </w:r>
      <w:r w:rsidR="005D62CA">
        <w:rPr>
          <w:sz w:val="22"/>
          <w:szCs w:val="22"/>
        </w:rPr>
        <w:t>14</w:t>
      </w:r>
      <w:r w:rsidR="005D62CA" w:rsidRPr="0063678C">
        <w:rPr>
          <w:sz w:val="22"/>
          <w:szCs w:val="22"/>
        </w:rPr>
        <w:t xml:space="preserve"> </w:t>
      </w:r>
      <w:r w:rsidRPr="0063678C">
        <w:rPr>
          <w:sz w:val="22"/>
          <w:szCs w:val="22"/>
        </w:rPr>
        <w:t>Vertragslaufzeit und Kündigung</w:t>
      </w:r>
      <w:bookmarkEnd w:id="31"/>
      <w:bookmarkEnd w:id="32"/>
    </w:p>
    <w:p w14:paraId="7C458D92" w14:textId="0E74D6A1"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r w:rsidR="00F119FE">
        <w:rPr>
          <w:rFonts w:cs="Arial"/>
          <w:sz w:val="22"/>
          <w:szCs w:val="22"/>
        </w:rPr>
        <w:t>Lieferantenrahmen</w:t>
      </w:r>
      <w:r w:rsidR="00DB1A51">
        <w:rPr>
          <w:rFonts w:cs="Arial"/>
          <w:sz w:val="22"/>
          <w:szCs w:val="22"/>
        </w:rPr>
        <w:t xml:space="preserve">vertrag </w:t>
      </w:r>
      <w:r w:rsidRPr="009E1DEF">
        <w:rPr>
          <w:rFonts w:cs="Arial"/>
          <w:sz w:val="22"/>
          <w:szCs w:val="22"/>
        </w:rPr>
        <w:t xml:space="preserve">läuft auf unbestimmte Zeit. </w:t>
      </w:r>
    </w:p>
    <w:p w14:paraId="1355203D" w14:textId="77777777"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r w:rsidR="00C76E4D">
        <w:rPr>
          <w:rFonts w:cs="Arial"/>
          <w:sz w:val="22"/>
          <w:szCs w:val="22"/>
        </w:rPr>
        <w:t>Transportkunde</w:t>
      </w:r>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14:paraId="43C283ED" w14:textId="77777777"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t xml:space="preserve">Mit </w:t>
      </w:r>
      <w:r w:rsidR="00225E0F">
        <w:rPr>
          <w:rFonts w:cs="Arial"/>
          <w:sz w:val="22"/>
          <w:szCs w:val="22"/>
        </w:rPr>
        <w:t xml:space="preserve">Wirksamwerden </w:t>
      </w:r>
      <w:r w:rsidRPr="005D62CA">
        <w:rPr>
          <w:rFonts w:cs="Arial"/>
          <w:sz w:val="22"/>
          <w:szCs w:val="22"/>
        </w:rPr>
        <w:t>der Kündigung ende</w:t>
      </w:r>
      <w:r w:rsidR="004A75D0" w:rsidRPr="005D62CA">
        <w:rPr>
          <w:rFonts w:cs="Arial"/>
          <w:sz w:val="22"/>
          <w:szCs w:val="22"/>
        </w:rPr>
        <w:t xml:space="preserve">t das Recht des </w:t>
      </w:r>
      <w:r w:rsidR="00C76E4D" w:rsidRPr="005D62CA">
        <w:rPr>
          <w:rFonts w:cs="Arial"/>
          <w:sz w:val="22"/>
          <w:szCs w:val="22"/>
        </w:rPr>
        <w:t>Transportkunden</w:t>
      </w:r>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r w:rsidR="00227320" w:rsidRPr="00E87550">
        <w:rPr>
          <w:rFonts w:cs="Arial"/>
          <w:sz w:val="22"/>
          <w:szCs w:val="22"/>
        </w:rPr>
        <w:t>m</w:t>
      </w:r>
      <w:r w:rsidR="00B770E6" w:rsidRPr="00E87550">
        <w:rPr>
          <w:rFonts w:cs="Arial"/>
          <w:sz w:val="22"/>
          <w:szCs w:val="22"/>
        </w:rPr>
        <w:t xml:space="preserve"> </w:t>
      </w:r>
      <w:r w:rsidR="00227320" w:rsidRPr="005C01A8">
        <w:rPr>
          <w:rFonts w:cs="Arial"/>
          <w:sz w:val="22"/>
          <w:szCs w:val="22"/>
        </w:rPr>
        <w:t xml:space="preserve">Niederdruck </w:t>
      </w:r>
      <w:r w:rsidR="00B770E6" w:rsidRPr="005C01A8">
        <w:rPr>
          <w:rFonts w:cs="Arial"/>
          <w:sz w:val="22"/>
          <w:szCs w:val="22"/>
        </w:rPr>
        <w:t>a</w:t>
      </w:r>
      <w:r w:rsidR="00B770E6" w:rsidRPr="00684541">
        <w:rPr>
          <w:rFonts w:cs="Arial"/>
          <w:sz w:val="22"/>
          <w:szCs w:val="22"/>
        </w:rPr>
        <w:t xml:space="preserve">ngeschlossene </w:t>
      </w:r>
      <w:r w:rsidR="00227320" w:rsidRPr="00684541">
        <w:rPr>
          <w:rFonts w:cs="Arial"/>
          <w:sz w:val="22"/>
          <w:szCs w:val="22"/>
        </w:rPr>
        <w:t xml:space="preserve">Ausspeisepunkte </w:t>
      </w:r>
      <w:r w:rsidR="00B770E6" w:rsidRPr="00684541">
        <w:rPr>
          <w:rFonts w:cs="Arial"/>
          <w:sz w:val="22"/>
          <w:szCs w:val="22"/>
        </w:rPr>
        <w:t xml:space="preserve">werden gemäß den Vorgaben der </w:t>
      </w:r>
      <w:r w:rsidR="00227320" w:rsidRPr="00684541">
        <w:rPr>
          <w:rFonts w:cs="Arial"/>
          <w:sz w:val="22"/>
          <w:szCs w:val="22"/>
        </w:rPr>
        <w:t xml:space="preserve">GeLi </w:t>
      </w:r>
      <w:r w:rsidR="003C24A7" w:rsidRPr="002A66CF">
        <w:rPr>
          <w:rFonts w:cs="Arial"/>
          <w:sz w:val="22"/>
          <w:szCs w:val="22"/>
        </w:rPr>
        <w:t>Gas</w:t>
      </w:r>
      <w:r w:rsidR="003C24A7">
        <w:rPr>
          <w:rFonts w:cs="Arial"/>
          <w:sz w:val="22"/>
          <w:szCs w:val="22"/>
        </w:rPr>
        <w:t xml:space="preserve"> </w:t>
      </w:r>
      <w:r w:rsidR="00B770E6" w:rsidRPr="00684541">
        <w:rPr>
          <w:rFonts w:cs="Arial"/>
          <w:sz w:val="22"/>
          <w:szCs w:val="22"/>
        </w:rPr>
        <w:t xml:space="preserve">(Prozess Ersatzversorgung) </w:t>
      </w:r>
      <w:r w:rsidRPr="00684541">
        <w:rPr>
          <w:rFonts w:cs="Arial"/>
          <w:sz w:val="22"/>
          <w:szCs w:val="22"/>
        </w:rPr>
        <w:t xml:space="preserve">dem Ersatz-/Grundversorger zugeordnet. </w:t>
      </w: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r w:rsidR="00B770E6" w:rsidRPr="005D62CA">
        <w:rPr>
          <w:rFonts w:cs="Arial"/>
          <w:sz w:val="22"/>
          <w:szCs w:val="22"/>
        </w:rPr>
        <w:t xml:space="preserve"> </w:t>
      </w:r>
    </w:p>
    <w:p w14:paraId="184BE4AE" w14:textId="77777777"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r w:rsidR="00541E30" w:rsidRPr="00862B42">
        <w:rPr>
          <w:rFonts w:cs="Arial"/>
          <w:sz w:val="22"/>
          <w:szCs w:val="22"/>
        </w:rPr>
        <w:t>Gas</w:t>
      </w:r>
      <w:r w:rsidR="00541E30" w:rsidRPr="00C23464">
        <w:rPr>
          <w:rFonts w:cs="Arial"/>
          <w:sz w:val="22"/>
          <w:szCs w:val="22"/>
        </w:rPr>
        <w:t xml:space="preserve">NZV </w:t>
      </w:r>
      <w:r w:rsidR="0088174D" w:rsidRPr="00CA38C5">
        <w:rPr>
          <w:rFonts w:cs="Arial"/>
          <w:sz w:val="22"/>
          <w:szCs w:val="22"/>
        </w:rPr>
        <w:t xml:space="preserve">oder anderer Rechtsvorschriften nicht oder nicht 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r w:rsidR="00541E30" w:rsidRPr="00862B42">
        <w:rPr>
          <w:rFonts w:cs="Arial"/>
          <w:sz w:val="22"/>
          <w:szCs w:val="22"/>
        </w:rPr>
        <w:t>Gas</w:t>
      </w:r>
      <w:r w:rsidR="00541E30" w:rsidRPr="00C23464">
        <w:rPr>
          <w:rFonts w:cs="Arial"/>
          <w:sz w:val="22"/>
          <w:szCs w:val="22"/>
        </w:rPr>
        <w:t xml:space="preserve">NZV </w:t>
      </w:r>
      <w:r w:rsidR="0088174D" w:rsidRPr="00CA38C5">
        <w:rPr>
          <w:rFonts w:cs="Arial"/>
          <w:sz w:val="22"/>
          <w:szCs w:val="22"/>
        </w:rPr>
        <w:t>und anderer Rechtsvorschriften entspricht.</w:t>
      </w:r>
    </w:p>
    <w:p w14:paraId="3290A8ED" w14:textId="77777777"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Beide Vertragspartner können diesen Vertrag fristlos aus wichtigem Grund kündigen. Ein wichtiger Grund liegt insbesondere vor, wenn </w:t>
      </w:r>
    </w:p>
    <w:p w14:paraId="72AD4B09" w14:textId="77777777"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14:paraId="7D248849" w14:textId="77777777" w:rsidR="00736014" w:rsidRDefault="0088174D" w:rsidP="00736014">
      <w:pPr>
        <w:numPr>
          <w:ilvl w:val="1"/>
          <w:numId w:val="6"/>
        </w:numPr>
        <w:tabs>
          <w:tab w:val="left" w:pos="180"/>
        </w:tabs>
        <w:spacing w:before="120" w:line="240" w:lineRule="atLeast"/>
        <w:jc w:val="both"/>
        <w:rPr>
          <w:rFonts w:cs="Arial"/>
          <w:sz w:val="22"/>
          <w:szCs w:val="22"/>
        </w:rPr>
      </w:pPr>
      <w:r w:rsidRPr="003A2313">
        <w:rPr>
          <w:rFonts w:cs="Arial"/>
          <w:sz w:val="22"/>
          <w:szCs w:val="22"/>
        </w:rPr>
        <w:t xml:space="preserve">der </w:t>
      </w:r>
      <w:r w:rsidR="00C76E4D">
        <w:rPr>
          <w:rFonts w:cs="Arial"/>
          <w:sz w:val="22"/>
          <w:szCs w:val="22"/>
        </w:rPr>
        <w:t>Transportkunde</w:t>
      </w:r>
      <w:r w:rsidRPr="003A2313">
        <w:rPr>
          <w:rFonts w:cs="Arial"/>
          <w:sz w:val="22"/>
          <w:szCs w:val="22"/>
        </w:rPr>
        <w:t xml:space="preserve"> seiner Verpflichtung zur Vo</w:t>
      </w:r>
      <w:r w:rsidRPr="000C0B9D">
        <w:rPr>
          <w:rFonts w:cs="Arial"/>
          <w:sz w:val="22"/>
          <w:szCs w:val="22"/>
        </w:rPr>
        <w:t>rauszahlung nicht, nicht vollständig oder nicht fristgerecht nachkommt</w:t>
      </w:r>
      <w:r w:rsidRPr="00397BE0">
        <w:rPr>
          <w:rFonts w:cs="Arial"/>
          <w:sz w:val="22"/>
          <w:szCs w:val="22"/>
        </w:rPr>
        <w:t xml:space="preserve"> </w:t>
      </w:r>
      <w:r w:rsidR="00225E0F">
        <w:rPr>
          <w:rFonts w:cs="Arial"/>
          <w:sz w:val="22"/>
          <w:szCs w:val="22"/>
        </w:rPr>
        <w:t>oder</w:t>
      </w:r>
    </w:p>
    <w:p w14:paraId="7D8D47A2" w14:textId="77777777" w:rsidR="00736014" w:rsidRPr="00736014" w:rsidRDefault="00736014" w:rsidP="00736014">
      <w:pPr>
        <w:numPr>
          <w:ilvl w:val="1"/>
          <w:numId w:val="6"/>
        </w:numPr>
        <w:tabs>
          <w:tab w:val="left" w:pos="180"/>
        </w:tabs>
        <w:spacing w:before="120" w:line="240" w:lineRule="atLeast"/>
        <w:jc w:val="both"/>
        <w:rPr>
          <w:rFonts w:cs="Arial"/>
          <w:sz w:val="22"/>
          <w:szCs w:val="22"/>
        </w:rPr>
      </w:pPr>
      <w:r w:rsidRPr="00736014">
        <w:rPr>
          <w:rFonts w:cs="Arial"/>
          <w:sz w:val="22"/>
          <w:szCs w:val="22"/>
        </w:rPr>
        <w:t>die Zuordnung sämtlicher Ausspeisepunkte des Transportkunden zu einem Bilanzkreis entgegen § 3 Ziffer 1 nicht mehr sichergestellt ist.</w:t>
      </w:r>
    </w:p>
    <w:p w14:paraId="30022071" w14:textId="77777777"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der </w:t>
      </w:r>
      <w:r w:rsidR="008217C5" w:rsidRPr="001300A2">
        <w:rPr>
          <w:rFonts w:cs="Arial"/>
          <w:sz w:val="22"/>
          <w:szCs w:val="22"/>
        </w:rPr>
        <w:t xml:space="preserve">Regulierungsbehörde </w:t>
      </w:r>
      <w:r w:rsidR="001300A2" w:rsidRPr="001300A2">
        <w:rPr>
          <w:rFonts w:cs="Arial"/>
          <w:sz w:val="22"/>
          <w:szCs w:val="22"/>
        </w:rPr>
        <w:t xml:space="preserve">in Textform </w:t>
      </w:r>
      <w:r w:rsidRPr="001300A2">
        <w:rPr>
          <w:rFonts w:cs="Arial"/>
          <w:sz w:val="22"/>
          <w:szCs w:val="22"/>
        </w:rPr>
        <w:t>mitzuteilen.</w:t>
      </w:r>
    </w:p>
    <w:p w14:paraId="5CA35C00" w14:textId="77777777"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 xml:space="preserve">Die Kündigung bedarf der </w:t>
      </w:r>
      <w:r w:rsidR="002A48BF">
        <w:rPr>
          <w:rFonts w:cs="Arial"/>
          <w:sz w:val="22"/>
          <w:szCs w:val="22"/>
        </w:rPr>
        <w:t>Textform</w:t>
      </w:r>
      <w:r w:rsidRPr="00EB2953">
        <w:rPr>
          <w:rFonts w:cs="Arial"/>
          <w:sz w:val="22"/>
          <w:szCs w:val="22"/>
        </w:rPr>
        <w:t>.</w:t>
      </w:r>
      <w:r w:rsidR="005A5AD0" w:rsidRPr="0063678C">
        <w:rPr>
          <w:rFonts w:cs="Arial"/>
          <w:sz w:val="22"/>
          <w:szCs w:val="22"/>
        </w:rPr>
        <w:t xml:space="preserve"> </w:t>
      </w:r>
      <w:r w:rsidRPr="001300A2">
        <w:rPr>
          <w:rFonts w:cs="Arial"/>
          <w:sz w:val="22"/>
          <w:szCs w:val="22"/>
        </w:rPr>
        <w:t xml:space="preserve">Ist der </w:t>
      </w:r>
      <w:r w:rsidR="00C76E4D" w:rsidRPr="001300A2">
        <w:rPr>
          <w:rFonts w:cs="Arial"/>
          <w:sz w:val="22"/>
          <w:szCs w:val="22"/>
        </w:rPr>
        <w:t>Transportkunde</w:t>
      </w:r>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r w:rsidR="00541E30" w:rsidRPr="001300A2">
        <w:rPr>
          <w:rFonts w:cs="Arial"/>
          <w:sz w:val="22"/>
          <w:szCs w:val="22"/>
        </w:rPr>
        <w:t xml:space="preserve">Gasbezug </w:t>
      </w:r>
      <w:r w:rsidRPr="001300A2">
        <w:rPr>
          <w:rFonts w:cs="Arial"/>
          <w:sz w:val="22"/>
          <w:szCs w:val="22"/>
        </w:rPr>
        <w:t xml:space="preserve">über das Netz des Netzbetreibers auf die ausschließliche Versorgung durch einen </w:t>
      </w:r>
      <w:r w:rsidR="00541E30" w:rsidRPr="001300A2">
        <w:rPr>
          <w:rFonts w:cs="Arial"/>
          <w:sz w:val="22"/>
          <w:szCs w:val="22"/>
        </w:rPr>
        <w:t>Gaslieferanten</w:t>
      </w:r>
      <w:r w:rsidRPr="001300A2">
        <w:rPr>
          <w:rFonts w:cs="Arial"/>
          <w:sz w:val="22"/>
          <w:szCs w:val="22"/>
        </w:rPr>
        <w:t xml:space="preserve">, der einen </w:t>
      </w:r>
      <w:r w:rsidR="00C52C57">
        <w:rPr>
          <w:rFonts w:cs="Arial"/>
          <w:sz w:val="22"/>
          <w:szCs w:val="22"/>
        </w:rPr>
        <w:t>Lieferantenrahmen</w:t>
      </w:r>
      <w:r w:rsidR="00C52C57" w:rsidRPr="001300A2">
        <w:rPr>
          <w:rFonts w:cs="Arial"/>
          <w:sz w:val="22"/>
          <w:szCs w:val="22"/>
        </w:rPr>
        <w:t xml:space="preserve">vertrag </w:t>
      </w:r>
      <w:r w:rsidRPr="001300A2">
        <w:rPr>
          <w:rFonts w:cs="Arial"/>
          <w:sz w:val="22"/>
          <w:szCs w:val="22"/>
        </w:rPr>
        <w:t xml:space="preserve">mit dem Netzbetreiber unterhält, im Rahmen eines „All-inclusive-Vertrages“ umzustellen. Einer solchen Umstellung steht es gleich, wenn der Letztverbraucher durch den Netzbetreiber dem </w:t>
      </w:r>
      <w:r w:rsidR="009977B3">
        <w:rPr>
          <w:rFonts w:cs="Arial"/>
          <w:sz w:val="22"/>
          <w:szCs w:val="22"/>
        </w:rPr>
        <w:t xml:space="preserve">Grund- oder </w:t>
      </w:r>
      <w:r w:rsidRPr="001300A2">
        <w:rPr>
          <w:rFonts w:cs="Arial"/>
          <w:sz w:val="22"/>
          <w:szCs w:val="22"/>
        </w:rPr>
        <w:t xml:space="preserve">Ersatzversorger als Lieferanten zugeordnet wird. Der Netznutzungsvertrag des Letztverbrauchers endet automatisch zum Beginn des </w:t>
      </w:r>
      <w:r w:rsidR="00541E30" w:rsidRPr="001300A2">
        <w:rPr>
          <w:rFonts w:cs="Arial"/>
          <w:sz w:val="22"/>
          <w:szCs w:val="22"/>
        </w:rPr>
        <w:t xml:space="preserve">Gasbezuges </w:t>
      </w:r>
      <w:r w:rsidRPr="001300A2">
        <w:rPr>
          <w:rFonts w:cs="Arial"/>
          <w:sz w:val="22"/>
          <w:szCs w:val="22"/>
        </w:rPr>
        <w:t>im Rahmen des „All-inclusive-Vertrages“.</w:t>
      </w:r>
    </w:p>
    <w:p w14:paraId="020D5AC0" w14:textId="32DEADDA"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tabrechnung fort. Nach Begleichung sämtlicher Forderungen endet die EDI-Vereinbarung automatisch.</w:t>
      </w:r>
    </w:p>
    <w:p w14:paraId="555F16B2" w14:textId="77777777" w:rsidR="00261427" w:rsidRPr="0063678C" w:rsidRDefault="00E551D1" w:rsidP="00361CF2">
      <w:pPr>
        <w:pStyle w:val="berschrift3"/>
        <w:jc w:val="both"/>
        <w:rPr>
          <w:sz w:val="22"/>
          <w:szCs w:val="22"/>
        </w:rPr>
      </w:pPr>
      <w:bookmarkStart w:id="33" w:name="_Toc446244944"/>
      <w:bookmarkStart w:id="34" w:name="_Toc99480704"/>
      <w:r w:rsidRPr="0063678C">
        <w:rPr>
          <w:sz w:val="22"/>
          <w:szCs w:val="22"/>
        </w:rPr>
        <w:t xml:space="preserve">§ </w:t>
      </w:r>
      <w:r w:rsidR="005D62CA">
        <w:rPr>
          <w:sz w:val="22"/>
          <w:szCs w:val="22"/>
        </w:rPr>
        <w:t>15</w:t>
      </w:r>
      <w:r w:rsidR="005D62CA" w:rsidRPr="0063678C">
        <w:rPr>
          <w:sz w:val="22"/>
          <w:szCs w:val="22"/>
        </w:rPr>
        <w:t xml:space="preserve"> </w:t>
      </w:r>
      <w:r w:rsidR="00261427" w:rsidRPr="0063678C">
        <w:rPr>
          <w:sz w:val="22"/>
          <w:szCs w:val="22"/>
        </w:rPr>
        <w:t>Ansprechpartner</w:t>
      </w:r>
      <w:bookmarkEnd w:id="33"/>
      <w:bookmarkEnd w:id="34"/>
    </w:p>
    <w:p w14:paraId="58F2B490" w14:textId="18615E71" w:rsidR="0022338E" w:rsidRPr="0022338E" w:rsidRDefault="0022338E" w:rsidP="003977DA">
      <w:pPr>
        <w:spacing w:before="120" w:line="240" w:lineRule="atLeast"/>
        <w:ind w:left="785"/>
        <w:jc w:val="both"/>
        <w:rPr>
          <w:sz w:val="22"/>
          <w:szCs w:val="22"/>
        </w:rPr>
      </w:pPr>
      <w:r w:rsidRPr="0022338E">
        <w:rPr>
          <w:sz w:val="22"/>
          <w:szCs w:val="22"/>
        </w:rPr>
        <w:t>Die Vertragspartner benennen ihre Ansprechpartner und deren jeweilige Erreichbarkeit durch beiderseitigen Austausch des Formulars „Muster_Kontaktdaten_Ansprechpartner.xlsx“ in elektronischer Form (s. Anlage 2)</w:t>
      </w:r>
      <w:r w:rsidR="003977DA">
        <w:rPr>
          <w:sz w:val="22"/>
          <w:szCs w:val="22"/>
        </w:rPr>
        <w:t>, s</w:t>
      </w:r>
      <w:r w:rsidR="003977DA" w:rsidRPr="003977DA">
        <w:rPr>
          <w:sz w:val="22"/>
          <w:szCs w:val="22"/>
        </w:rPr>
        <w:t xml:space="preserve">oweit sich aus den in § 5 benannten </w:t>
      </w:r>
      <w:r w:rsidR="003977DA">
        <w:rPr>
          <w:sz w:val="22"/>
          <w:szCs w:val="22"/>
        </w:rPr>
        <w:t>Regelunge</w:t>
      </w:r>
      <w:r w:rsidR="003977DA" w:rsidRPr="003977DA">
        <w:rPr>
          <w:sz w:val="22"/>
          <w:szCs w:val="22"/>
        </w:rPr>
        <w:t>n nichts Abweichendes ergibt</w:t>
      </w:r>
      <w:r w:rsidRPr="0022338E">
        <w:rPr>
          <w:sz w:val="22"/>
          <w:szCs w:val="22"/>
        </w:rPr>
        <w:t xml:space="preserve">. Änderungen werden unverzüglich auf dieselbe Art und Weise ausgetauscht. Die Änderungen sind zu kennzeichnen. </w:t>
      </w:r>
    </w:p>
    <w:p w14:paraId="7B60105F" w14:textId="60A6B2C5" w:rsidR="00261427" w:rsidRPr="00A870EB" w:rsidRDefault="00261427" w:rsidP="00437EB6">
      <w:pPr>
        <w:pStyle w:val="berschrift3"/>
        <w:jc w:val="both"/>
        <w:rPr>
          <w:sz w:val="22"/>
          <w:szCs w:val="22"/>
        </w:rPr>
      </w:pPr>
      <w:bookmarkStart w:id="35" w:name="_Toc446244945"/>
      <w:bookmarkStart w:id="36" w:name="_Toc99480705"/>
      <w:r w:rsidRPr="000C0B9D">
        <w:rPr>
          <w:sz w:val="22"/>
          <w:szCs w:val="22"/>
        </w:rPr>
        <w:t xml:space="preserve">§ </w:t>
      </w:r>
      <w:r w:rsidR="005D62CA">
        <w:rPr>
          <w:sz w:val="22"/>
          <w:szCs w:val="22"/>
        </w:rPr>
        <w:t>16</w:t>
      </w:r>
      <w:r w:rsidR="005D62CA" w:rsidRPr="000C0B9D">
        <w:rPr>
          <w:sz w:val="22"/>
          <w:szCs w:val="22"/>
        </w:rPr>
        <w:t xml:space="preserve"> </w:t>
      </w:r>
      <w:r w:rsidRPr="000C0B9D">
        <w:rPr>
          <w:sz w:val="22"/>
          <w:szCs w:val="22"/>
        </w:rPr>
        <w:t>Datenaustausch und Vertraulichkeit</w:t>
      </w:r>
      <w:bookmarkEnd w:id="35"/>
      <w:bookmarkEnd w:id="36"/>
    </w:p>
    <w:p w14:paraId="2F610479" w14:textId="77777777"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14:paraId="7961512C" w14:textId="77777777" w:rsidR="009A0D20" w:rsidRPr="008A6688" w:rsidRDefault="009A0D20" w:rsidP="009A0D20">
      <w:pPr>
        <w:numPr>
          <w:ilvl w:val="0"/>
          <w:numId w:val="13"/>
        </w:numPr>
        <w:spacing w:before="120" w:line="240" w:lineRule="atLeast"/>
        <w:jc w:val="both"/>
        <w:rPr>
          <w:rFonts w:cs="Arial"/>
          <w:sz w:val="22"/>
          <w:szCs w:val="22"/>
        </w:rPr>
      </w:pPr>
      <w:r w:rsidRPr="00A328C1">
        <w:rPr>
          <w:rFonts w:cs="Arial"/>
          <w:sz w:val="22"/>
          <w:szCs w:val="22"/>
        </w:rPr>
        <w:t>Die Vertragspartner sichern zu, dass sie sämtlichen Pflichten, insbesondere ihren In-</w:t>
      </w:r>
      <w:r w:rsidRPr="008A6688">
        <w:rPr>
          <w:rFonts w:cs="Arial"/>
          <w:sz w:val="22"/>
          <w:szCs w:val="22"/>
        </w:rPr>
        <w:t>formationspflichten, nach den einschlägigen datenschutzrechtlichen Bestimmungen nachkommen.</w:t>
      </w:r>
    </w:p>
    <w:p w14:paraId="37F56874" w14:textId="05CE26B7"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r w:rsidR="006440D4">
        <w:rPr>
          <w:rFonts w:cs="Arial"/>
          <w:sz w:val="22"/>
          <w:szCs w:val="22"/>
        </w:rPr>
        <w:t>Gas</w:t>
      </w:r>
      <w:r w:rsidR="006440D4" w:rsidRPr="0063678C">
        <w:rPr>
          <w:rFonts w:cs="Arial"/>
          <w:sz w:val="22"/>
          <w:szCs w:val="22"/>
        </w:rPr>
        <w:t xml:space="preserve">lieferungen </w:t>
      </w:r>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14:paraId="5CB50374" w14:textId="77777777" w:rsidR="00261427" w:rsidRPr="006440D4" w:rsidRDefault="00261427" w:rsidP="00361CF2">
      <w:pPr>
        <w:numPr>
          <w:ilvl w:val="0"/>
          <w:numId w:val="13"/>
        </w:numPr>
        <w:spacing w:before="120" w:line="240" w:lineRule="atLeast"/>
        <w:jc w:val="both"/>
        <w:rPr>
          <w:rFonts w:cs="Arial"/>
          <w:sz w:val="22"/>
          <w:szCs w:val="22"/>
        </w:rPr>
      </w:pPr>
      <w:r w:rsidRPr="00C45BAB">
        <w:rPr>
          <w:rFonts w:cs="Arial"/>
          <w:sz w:val="22"/>
          <w:szCs w:val="22"/>
        </w:rPr>
        <w:t>Die technischen Einzelheiten für den Datenaustausch zwischen den Vertragspart</w:t>
      </w:r>
      <w:r w:rsidR="005B74C3">
        <w:rPr>
          <w:rFonts w:cs="Arial"/>
          <w:sz w:val="22"/>
          <w:szCs w:val="22"/>
        </w:rPr>
        <w:t>eien</w:t>
      </w:r>
      <w:r w:rsidR="00FE3363">
        <w:rPr>
          <w:rFonts w:cs="Arial"/>
          <w:sz w:val="22"/>
          <w:szCs w:val="22"/>
        </w:rPr>
        <w:t xml:space="preserve"> </w:t>
      </w:r>
      <w:r w:rsidR="008724CD">
        <w:rPr>
          <w:rFonts w:cs="Arial"/>
          <w:sz w:val="22"/>
          <w:szCs w:val="22"/>
        </w:rPr>
        <w:t>sind in der</w:t>
      </w:r>
      <w:r w:rsidR="008724CD" w:rsidRPr="00903218">
        <w:rPr>
          <w:rFonts w:cs="Arial"/>
          <w:sz w:val="22"/>
          <w:szCs w:val="22"/>
        </w:rPr>
        <w:t xml:space="preserve"> </w:t>
      </w:r>
      <w:r w:rsidRPr="00903218">
        <w:rPr>
          <w:rFonts w:cs="Arial"/>
          <w:sz w:val="22"/>
          <w:szCs w:val="22"/>
        </w:rPr>
        <w:t>Vereinbarung über den elektronischen Datenaustausch geregelt, d</w:t>
      </w:r>
      <w:r w:rsidR="005B74C3">
        <w:rPr>
          <w:rFonts w:cs="Arial"/>
          <w:sz w:val="22"/>
          <w:szCs w:val="22"/>
        </w:rPr>
        <w:t>ie</w:t>
      </w:r>
      <w:r w:rsidRPr="00903218">
        <w:rPr>
          <w:rFonts w:cs="Arial"/>
          <w:sz w:val="22"/>
          <w:szCs w:val="22"/>
        </w:rPr>
        <w:t xml:space="preserve"> diesem Vertrag als Anlage beiliegt</w:t>
      </w:r>
      <w:r w:rsidR="005B74C3">
        <w:rPr>
          <w:rFonts w:cs="Arial"/>
          <w:sz w:val="22"/>
          <w:szCs w:val="22"/>
        </w:rPr>
        <w:t xml:space="preserve"> und gemäß § 19 Vertragsbestandteil ist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14:paraId="275266C3" w14:textId="77777777" w:rsidR="002C5D04" w:rsidRDefault="006440D4" w:rsidP="006440D4">
      <w:pPr>
        <w:numPr>
          <w:ilvl w:val="0"/>
          <w:numId w:val="13"/>
        </w:numPr>
        <w:spacing w:before="120" w:line="240" w:lineRule="atLeast"/>
        <w:jc w:val="both"/>
        <w:rPr>
          <w:rFonts w:cs="Arial"/>
          <w:sz w:val="22"/>
          <w:szCs w:val="22"/>
        </w:rPr>
      </w:pPr>
      <w:r w:rsidRPr="006440D4">
        <w:rPr>
          <w:rFonts w:cs="Arial"/>
          <w:sz w:val="22"/>
          <w:szCs w:val="22"/>
        </w:rPr>
        <w:t xml:space="preserve">Für Letztverbraucher mit registrierender Leistungsmessung und einem in der Regel nicht planbaren, </w:t>
      </w:r>
      <w:proofErr w:type="gramStart"/>
      <w:r w:rsidRPr="006440D4">
        <w:rPr>
          <w:rFonts w:cs="Arial"/>
          <w:sz w:val="22"/>
          <w:szCs w:val="22"/>
        </w:rPr>
        <w:t>extrem hohen</w:t>
      </w:r>
      <w:proofErr w:type="gramEnd"/>
      <w:r w:rsidRPr="006440D4">
        <w:rPr>
          <w:rFonts w:cs="Arial"/>
          <w:sz w:val="22"/>
          <w:szCs w:val="22"/>
        </w:rPr>
        <w:t xml:space="preserve">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veröffentlicht der Netzbetreiber die entsprechenden </w:t>
      </w:r>
      <w:r w:rsidR="009A081C">
        <w:rPr>
          <w:rFonts w:cs="Arial"/>
          <w:sz w:val="22"/>
          <w:szCs w:val="22"/>
        </w:rPr>
        <w:t>Marktlokation</w:t>
      </w:r>
      <w:r w:rsidR="008724CD">
        <w:rPr>
          <w:rFonts w:cs="Arial"/>
          <w:sz w:val="22"/>
          <w:szCs w:val="22"/>
        </w:rPr>
        <w:t>en</w:t>
      </w:r>
      <w:r w:rsidRPr="006440D4">
        <w:rPr>
          <w:rFonts w:cs="Arial"/>
          <w:sz w:val="22"/>
          <w:szCs w:val="22"/>
        </w:rPr>
        <w:t>. Darüber hinaus informiert der Netzbetreiber den Transportkunden im Rahmen eines bestehenden Vertragsverhältnisses vorab in Textform über die nachträgliche Einführung der Verpflichtung zur Abgabe vorheriger technischer Ausspeisemeldungen.</w:t>
      </w:r>
    </w:p>
    <w:p w14:paraId="1F3D16B7" w14:textId="777EA7C0" w:rsidR="005C0DE1" w:rsidRPr="006440D4" w:rsidRDefault="005C0DE1" w:rsidP="00016AB1">
      <w:pPr>
        <w:numPr>
          <w:ilvl w:val="0"/>
          <w:numId w:val="13"/>
        </w:numPr>
        <w:spacing w:before="120" w:line="240" w:lineRule="atLeast"/>
        <w:jc w:val="both"/>
        <w:rPr>
          <w:rFonts w:cs="Arial"/>
          <w:sz w:val="22"/>
          <w:szCs w:val="22"/>
        </w:rPr>
      </w:pPr>
      <w:r w:rsidRPr="005C0DE1">
        <w:rPr>
          <w:rFonts w:cs="Arial"/>
          <w:sz w:val="22"/>
          <w:szCs w:val="22"/>
        </w:rPr>
        <w:t xml:space="preserve">Sofern der Bilanzkreisverantwortliche des Transportkunden eine Vereinbarung über ein </w:t>
      </w:r>
      <w:r w:rsidR="007F2FFB">
        <w:rPr>
          <w:rFonts w:cs="Arial"/>
          <w:sz w:val="22"/>
          <w:szCs w:val="22"/>
        </w:rPr>
        <w:t xml:space="preserve">langfristiges </w:t>
      </w:r>
      <w:r w:rsidRPr="005C0DE1">
        <w:rPr>
          <w:rFonts w:cs="Arial"/>
          <w:sz w:val="22"/>
          <w:szCs w:val="22"/>
        </w:rPr>
        <w:t>Regelenergieprodukt</w:t>
      </w:r>
      <w:r w:rsidR="00E7560D">
        <w:rPr>
          <w:rFonts w:cs="Arial"/>
          <w:sz w:val="22"/>
          <w:szCs w:val="22"/>
        </w:rPr>
        <w:t>,</w:t>
      </w:r>
      <w:r w:rsidRPr="005C0DE1">
        <w:rPr>
          <w:rFonts w:cs="Arial"/>
          <w:sz w:val="22"/>
          <w:szCs w:val="22"/>
        </w:rPr>
        <w:t xml:space="preserve"> </w:t>
      </w:r>
      <w:r w:rsidR="00E7560D">
        <w:rPr>
          <w:rFonts w:cs="Arial"/>
          <w:sz w:val="22"/>
          <w:szCs w:val="22"/>
        </w:rPr>
        <w:t xml:space="preserve">welches </w:t>
      </w:r>
      <w:r w:rsidR="007A0313">
        <w:rPr>
          <w:rFonts w:cs="Arial"/>
          <w:sz w:val="22"/>
          <w:szCs w:val="22"/>
        </w:rPr>
        <w:t xml:space="preserve">durch Nutzung von Abschaltpotentialen an RLM-Ausspeisepunkten </w:t>
      </w:r>
      <w:r w:rsidR="00E7560D">
        <w:rPr>
          <w:rFonts w:cs="Arial"/>
          <w:sz w:val="22"/>
          <w:szCs w:val="22"/>
        </w:rPr>
        <w:t xml:space="preserve">bewirkt wird, </w:t>
      </w:r>
      <w:r w:rsidRPr="005C0DE1">
        <w:rPr>
          <w:rFonts w:cs="Arial"/>
          <w:sz w:val="22"/>
          <w:szCs w:val="22"/>
        </w:rPr>
        <w:t>mit dem Marktgebietsverantwort</w:t>
      </w:r>
      <w:r w:rsidR="00DA7DA5">
        <w:rPr>
          <w:rFonts w:cs="Arial"/>
          <w:sz w:val="22"/>
          <w:szCs w:val="22"/>
        </w:rPr>
        <w:t>lich</w:t>
      </w:r>
      <w:r w:rsidRPr="005C0DE1">
        <w:rPr>
          <w:rFonts w:cs="Arial"/>
          <w:sz w:val="22"/>
          <w:szCs w:val="22"/>
        </w:rPr>
        <w:t xml:space="preserve">en abschließt, das mindestens einen der Ausspeisepunkte des Transportkunden im Netz des Netzbetreibers betrifft, hat der Transportkunde den Netzbetreiber hierüber unter Angabe der betroffenen Ausspeisepunkte nach § 41 Abs. 3 Nr. 1 GasNZV einschließlich </w:t>
      </w:r>
      <w:r w:rsidR="00AF28E1">
        <w:rPr>
          <w:rFonts w:cs="Arial"/>
          <w:sz w:val="22"/>
          <w:szCs w:val="22"/>
        </w:rPr>
        <w:t xml:space="preserve">der </w:t>
      </w:r>
      <w:r w:rsidRPr="005C0DE1">
        <w:rPr>
          <w:rFonts w:cs="Arial"/>
          <w:sz w:val="22"/>
          <w:szCs w:val="22"/>
        </w:rPr>
        <w:t>Dauer und de</w:t>
      </w:r>
      <w:r w:rsidR="00AF28E1">
        <w:rPr>
          <w:rFonts w:cs="Arial"/>
          <w:sz w:val="22"/>
          <w:szCs w:val="22"/>
        </w:rPr>
        <w:t>s</w:t>
      </w:r>
      <w:r w:rsidRPr="005C0DE1">
        <w:rPr>
          <w:rFonts w:cs="Arial"/>
          <w:sz w:val="22"/>
          <w:szCs w:val="22"/>
        </w:rPr>
        <w:t xml:space="preserve"> Umfang</w:t>
      </w:r>
      <w:r w:rsidR="00AF28E1">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w:t>
      </w:r>
      <w:r w:rsidR="007A0313">
        <w:rPr>
          <w:rFonts w:cs="Arial"/>
          <w:sz w:val="22"/>
          <w:szCs w:val="22"/>
        </w:rPr>
        <w:t xml:space="preserve">Der </w:t>
      </w:r>
      <w:r w:rsidRPr="005C0DE1">
        <w:rPr>
          <w:rFonts w:cs="Arial"/>
          <w:sz w:val="22"/>
          <w:szCs w:val="22"/>
        </w:rPr>
        <w:t>Transportkunde verpflichtet</w:t>
      </w:r>
      <w:r w:rsidR="007A0313">
        <w:rPr>
          <w:rFonts w:cs="Arial"/>
          <w:sz w:val="22"/>
          <w:szCs w:val="22"/>
        </w:rPr>
        <w:t xml:space="preserve"> sich</w:t>
      </w:r>
      <w:r w:rsidRPr="005C0DE1">
        <w:rPr>
          <w:rFonts w:cs="Arial"/>
          <w:sz w:val="22"/>
          <w:szCs w:val="22"/>
        </w:rPr>
        <w:t xml:space="preserve">, den Netzbetreiber für den jeweiligen Ausspeisepunkt </w:t>
      </w:r>
      <w:r w:rsidR="007A0313">
        <w:rPr>
          <w:rFonts w:cs="Arial"/>
          <w:sz w:val="22"/>
          <w:szCs w:val="22"/>
        </w:rPr>
        <w:t xml:space="preserve">unverzüglich nach Kontrahierung von langfristigen Regelenergieprodukten </w:t>
      </w:r>
      <w:r w:rsidRPr="005C0DE1">
        <w:rPr>
          <w:rFonts w:cs="Arial"/>
          <w:sz w:val="22"/>
          <w:szCs w:val="22"/>
        </w:rPr>
        <w:t xml:space="preserve">über die </w:t>
      </w:r>
      <w:r w:rsidR="007A0313">
        <w:rPr>
          <w:rFonts w:cs="Arial"/>
          <w:sz w:val="22"/>
          <w:szCs w:val="22"/>
        </w:rPr>
        <w:t>Höhe der kontrahierten Leistung sowie im Fall des Abrufes bei lang- und kurzfristigen Regelenergieprodukten</w:t>
      </w:r>
      <w:r w:rsidR="00E7560D">
        <w:rPr>
          <w:rFonts w:cs="Arial"/>
          <w:sz w:val="22"/>
          <w:szCs w:val="22"/>
        </w:rPr>
        <w:t>, welche</w:t>
      </w:r>
      <w:r w:rsidR="007A0313">
        <w:rPr>
          <w:rFonts w:cs="Arial"/>
          <w:sz w:val="22"/>
          <w:szCs w:val="22"/>
        </w:rPr>
        <w:t xml:space="preserve"> durch Nutzung von Abschaltpotentialen an RLM- Ausspeisepunkten </w:t>
      </w:r>
      <w:r w:rsidR="00E7560D">
        <w:rPr>
          <w:rFonts w:cs="Arial"/>
          <w:sz w:val="22"/>
          <w:szCs w:val="22"/>
        </w:rPr>
        <w:t>bewirkt w</w:t>
      </w:r>
      <w:r w:rsidR="00D4602F">
        <w:rPr>
          <w:rFonts w:cs="Arial"/>
          <w:sz w:val="22"/>
          <w:szCs w:val="22"/>
        </w:rPr>
        <w:t>erden</w:t>
      </w:r>
      <w:r w:rsidR="00E7560D">
        <w:rPr>
          <w:rFonts w:cs="Arial"/>
          <w:sz w:val="22"/>
          <w:szCs w:val="22"/>
        </w:rPr>
        <w:t xml:space="preserve">, </w:t>
      </w:r>
      <w:r w:rsidR="007A0313">
        <w:rPr>
          <w:rFonts w:cs="Arial"/>
          <w:sz w:val="22"/>
          <w:szCs w:val="22"/>
        </w:rPr>
        <w:t xml:space="preserve">über die </w:t>
      </w:r>
      <w:r w:rsidRPr="005C0DE1">
        <w:rPr>
          <w:rFonts w:cs="Arial"/>
          <w:sz w:val="22"/>
          <w:szCs w:val="22"/>
        </w:rPr>
        <w:t xml:space="preserve">Dauer und den Umfang des Abrufs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p>
    <w:p w14:paraId="059D3616" w14:textId="77777777" w:rsidR="00261427" w:rsidRPr="00010243" w:rsidRDefault="00261427" w:rsidP="00361CF2">
      <w:pPr>
        <w:pStyle w:val="berschrift3"/>
        <w:jc w:val="both"/>
        <w:rPr>
          <w:sz w:val="22"/>
          <w:szCs w:val="22"/>
        </w:rPr>
      </w:pPr>
      <w:bookmarkStart w:id="37" w:name="_Toc446244946"/>
      <w:bookmarkStart w:id="38" w:name="_Toc99480706"/>
      <w:r w:rsidRPr="007B1770">
        <w:rPr>
          <w:sz w:val="22"/>
          <w:szCs w:val="22"/>
        </w:rPr>
        <w:t xml:space="preserve">§ </w:t>
      </w:r>
      <w:r w:rsidR="005D62CA">
        <w:rPr>
          <w:sz w:val="22"/>
          <w:szCs w:val="22"/>
        </w:rPr>
        <w:t>17</w:t>
      </w:r>
      <w:r w:rsidR="005D62CA" w:rsidRPr="00010243">
        <w:rPr>
          <w:sz w:val="22"/>
          <w:szCs w:val="22"/>
        </w:rPr>
        <w:t xml:space="preserve"> </w:t>
      </w:r>
      <w:r w:rsidRPr="00010243">
        <w:rPr>
          <w:sz w:val="22"/>
          <w:szCs w:val="22"/>
        </w:rPr>
        <w:t>Vollmacht</w:t>
      </w:r>
      <w:bookmarkEnd w:id="37"/>
      <w:bookmarkEnd w:id="38"/>
    </w:p>
    <w:p w14:paraId="7B30A808" w14:textId="77777777"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r w:rsidR="002C5D04" w:rsidRPr="000C0B9D">
        <w:rPr>
          <w:rFonts w:cs="Arial"/>
          <w:sz w:val="22"/>
          <w:szCs w:val="22"/>
        </w:rPr>
        <w:t xml:space="preserve">GeLi </w:t>
      </w:r>
      <w:r w:rsidR="00072B63">
        <w:rPr>
          <w:rFonts w:cs="Arial"/>
          <w:sz w:val="22"/>
          <w:szCs w:val="22"/>
        </w:rPr>
        <w:t xml:space="preserve">Gas </w:t>
      </w:r>
      <w:r w:rsidRPr="000C0B9D">
        <w:rPr>
          <w:rFonts w:cs="Arial"/>
          <w:sz w:val="22"/>
          <w:szCs w:val="22"/>
        </w:rPr>
        <w:t xml:space="preserve">sichert der </w:t>
      </w:r>
      <w:r w:rsidR="006A20F6">
        <w:rPr>
          <w:rFonts w:cs="Arial"/>
          <w:sz w:val="22"/>
          <w:szCs w:val="22"/>
        </w:rPr>
        <w:t>Transportkunde</w:t>
      </w:r>
      <w:r w:rsidRPr="000C0B9D">
        <w:rPr>
          <w:rFonts w:cs="Arial"/>
          <w:sz w:val="22"/>
          <w:szCs w:val="22"/>
        </w:rPr>
        <w:t xml:space="preserve"> die Bevollmächtigung durch den Anschlussnutzer für diese zu. </w:t>
      </w:r>
      <w:r w:rsidRPr="00A870EB">
        <w:rPr>
          <w:rFonts w:cs="Arial"/>
          <w:sz w:val="22"/>
          <w:szCs w:val="22"/>
        </w:rPr>
        <w:t xml:space="preserve">Der </w:t>
      </w:r>
      <w:r w:rsidR="006A20F6">
        <w:rPr>
          <w:rFonts w:cs="Arial"/>
          <w:sz w:val="22"/>
          <w:szCs w:val="22"/>
        </w:rPr>
        <w:t>Transportkunde</w:t>
      </w:r>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In einem solchen Fall genügt h</w:t>
      </w:r>
      <w:r w:rsidR="00F61F1D" w:rsidRPr="00EB2953">
        <w:rPr>
          <w:rFonts w:cs="Arial"/>
          <w:sz w:val="22"/>
          <w:szCs w:val="22"/>
        </w:rPr>
        <w:t xml:space="preserve">ierzu in der Regel die Übersendung einer Kopie der Vollmachtsurkunde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14:paraId="14AB2409" w14:textId="77777777" w:rsidR="009D3438" w:rsidRPr="00C45BAB" w:rsidRDefault="00261427" w:rsidP="0022681C">
      <w:pPr>
        <w:pStyle w:val="berschrift3"/>
        <w:jc w:val="both"/>
        <w:rPr>
          <w:sz w:val="22"/>
          <w:szCs w:val="22"/>
        </w:rPr>
      </w:pPr>
      <w:bookmarkStart w:id="39" w:name="_Toc446244947"/>
      <w:bookmarkStart w:id="40" w:name="_Toc99480707"/>
      <w:r w:rsidRPr="009E1DEF">
        <w:rPr>
          <w:sz w:val="22"/>
          <w:szCs w:val="22"/>
        </w:rPr>
        <w:t xml:space="preserve">§ </w:t>
      </w:r>
      <w:r w:rsidR="005D62CA">
        <w:rPr>
          <w:sz w:val="22"/>
          <w:szCs w:val="22"/>
        </w:rPr>
        <w:t>18</w:t>
      </w:r>
      <w:r w:rsidR="005D62CA" w:rsidRPr="00C45BAB">
        <w:rPr>
          <w:sz w:val="22"/>
          <w:szCs w:val="22"/>
        </w:rPr>
        <w:t xml:space="preserve"> </w:t>
      </w:r>
      <w:r w:rsidRPr="00C45BAB">
        <w:rPr>
          <w:sz w:val="22"/>
          <w:szCs w:val="22"/>
        </w:rPr>
        <w:t>Übergangs- und Schlussbestimmungen</w:t>
      </w:r>
      <w:bookmarkEnd w:id="39"/>
      <w:bookmarkEnd w:id="40"/>
      <w:r w:rsidR="000377AD" w:rsidRPr="00C45BAB">
        <w:rPr>
          <w:sz w:val="22"/>
          <w:szCs w:val="22"/>
        </w:rPr>
        <w:t xml:space="preserve"> </w:t>
      </w:r>
    </w:p>
    <w:p w14:paraId="04921AC1" w14:textId="77777777" w:rsidR="00261427" w:rsidRPr="00AA39E5" w:rsidRDefault="00261427" w:rsidP="00361CF2">
      <w:pPr>
        <w:numPr>
          <w:ilvl w:val="0"/>
          <w:numId w:val="10"/>
        </w:numPr>
        <w:tabs>
          <w:tab w:val="left" w:pos="0"/>
        </w:tabs>
        <w:spacing w:before="120" w:line="240" w:lineRule="atLeast"/>
        <w:jc w:val="both"/>
        <w:rPr>
          <w:rFonts w:cs="Arial"/>
          <w:sz w:val="22"/>
          <w:szCs w:val="22"/>
        </w:rPr>
      </w:pPr>
      <w:r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w:t>
      </w:r>
      <w:r w:rsidRPr="00CB4860">
        <w:rPr>
          <w:rFonts w:cs="Arial"/>
          <w:sz w:val="22"/>
          <w:szCs w:val="22"/>
        </w:rPr>
        <w:t xml:space="preserve">Die Zustimmung gilt als erteilt, wenn der andere Vertragspartner nicht innerhalb von sechs Wochen nach der Mitteilung </w:t>
      </w:r>
      <w:r w:rsidR="009977B3">
        <w:rPr>
          <w:rFonts w:cs="Arial"/>
          <w:sz w:val="22"/>
          <w:szCs w:val="22"/>
        </w:rPr>
        <w:t xml:space="preserve">in Textform </w:t>
      </w:r>
      <w:r w:rsidRPr="00CB4860">
        <w:rPr>
          <w:rFonts w:cs="Arial"/>
          <w:sz w:val="22"/>
          <w:szCs w:val="22"/>
        </w:rPr>
        <w:t>über die Übertragung der Recht</w:t>
      </w:r>
      <w:r w:rsidRPr="003A0254">
        <w:rPr>
          <w:rFonts w:cs="Arial"/>
          <w:sz w:val="22"/>
          <w:szCs w:val="22"/>
        </w:rPr>
        <w:t xml:space="preserve">e und Pflichten </w:t>
      </w:r>
      <w:r w:rsidR="009977B3">
        <w:rPr>
          <w:rFonts w:cs="Arial"/>
          <w:sz w:val="22"/>
          <w:szCs w:val="22"/>
        </w:rPr>
        <w:t xml:space="preserve">in Textform </w:t>
      </w:r>
      <w:r w:rsidRPr="003A0254">
        <w:rPr>
          <w:rFonts w:cs="Arial"/>
          <w:sz w:val="22"/>
          <w:szCs w:val="22"/>
        </w:rPr>
        <w:t>widerspricht. Im Fall der Gesamtrechtsnachfolge oder der Rechtsnachfolge nach dem Umwandlungsgesetz oder in sonstigen Fällen der rechtlichen Entflechtung des Netzbetriebs nach § 7 EnWG gehen die Rechte und Pflichten des Vertrag</w:t>
      </w:r>
      <w:r w:rsidRPr="009C5686">
        <w:rPr>
          <w:rFonts w:cs="Arial"/>
          <w:sz w:val="22"/>
          <w:szCs w:val="22"/>
        </w:rPr>
        <w:t xml:space="preserve">es ohne Zustimmung über. </w:t>
      </w:r>
      <w:r w:rsidRPr="00634737">
        <w:rPr>
          <w:rFonts w:cs="Arial"/>
          <w:sz w:val="22"/>
          <w:szCs w:val="22"/>
        </w:rPr>
        <w:t xml:space="preserve">Eine Zustimmung ist auch dann nicht erforderlich, wenn es sich bei dem Rechtsnachfolger um ein verbundenes Unternehmen i. S. d. §§ 15 ff. </w:t>
      </w:r>
      <w:r w:rsidR="00380342">
        <w:rPr>
          <w:rFonts w:cs="Arial"/>
          <w:sz w:val="22"/>
          <w:szCs w:val="22"/>
        </w:rPr>
        <w:t>Aktiengesetz (</w:t>
      </w:r>
      <w:r w:rsidRPr="00634737">
        <w:rPr>
          <w:rFonts w:cs="Arial"/>
          <w:sz w:val="22"/>
          <w:szCs w:val="22"/>
        </w:rPr>
        <w:t>AktG</w:t>
      </w:r>
      <w:r w:rsidR="00380342">
        <w:rPr>
          <w:rFonts w:cs="Arial"/>
          <w:sz w:val="22"/>
          <w:szCs w:val="22"/>
        </w:rPr>
        <w:t>)</w:t>
      </w:r>
      <w:r w:rsidRPr="00634737">
        <w:rPr>
          <w:rFonts w:cs="Arial"/>
          <w:sz w:val="22"/>
          <w:szCs w:val="22"/>
        </w:rPr>
        <w:t xml:space="preserve"> handelt. </w:t>
      </w:r>
      <w:r w:rsidRPr="00BE0733">
        <w:rPr>
          <w:rFonts w:cs="Arial"/>
          <w:sz w:val="22"/>
          <w:szCs w:val="22"/>
        </w:rPr>
        <w:t>In diesen Fällen bedarf es lediglich der Mitteilung in Textform an den anderen Vertragspartner.</w:t>
      </w:r>
    </w:p>
    <w:p w14:paraId="74191B67" w14:textId="16D70F28"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r w:rsidR="0060639A" w:rsidRPr="0060639A">
        <w:rPr>
          <w:rFonts w:cs="Arial"/>
          <w:sz w:val="22"/>
          <w:szCs w:val="22"/>
        </w:rPr>
        <w:t>die unwirksamen oder undurchführbaren Bestimmungen in einem geeigneten Verfahren durch andere, ihrem wirtschaftlichen Erfolg möglichst gleichkommende Bestimmungen zu ersetzen. Dies gilt entsprechend bei Regelungslücken.</w:t>
      </w:r>
    </w:p>
    <w:p w14:paraId="023D2E97" w14:textId="77777777"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00310730" w14:textId="77777777"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14:paraId="77D42233" w14:textId="77777777"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 xml:space="preserve">hierfür durchzuführenden Prozesse, insbesondere auch bezüglich der zugunsten des </w:t>
      </w:r>
      <w:r w:rsidR="00C76E4D" w:rsidRPr="00E148EB">
        <w:rPr>
          <w:rFonts w:cs="Arial"/>
          <w:sz w:val="22"/>
          <w:szCs w:val="22"/>
        </w:rPr>
        <w:t>Transportkunden</w:t>
      </w:r>
      <w:r w:rsidR="00E022A3" w:rsidRPr="00E148EB">
        <w:rPr>
          <w:rFonts w:cs="Arial"/>
          <w:sz w:val="22"/>
          <w:szCs w:val="22"/>
        </w:rPr>
        <w:t xml:space="preserve"> zu beachtenden Informations-/Rücksichtnahmepflichten nach dem von den Verbänden AFM+E, BDEW, GEODE sowie VKU erarbeiteten und veröffentlichten </w:t>
      </w:r>
      <w:r w:rsidR="00295E4F" w:rsidRPr="00E148EB">
        <w:rPr>
          <w:rFonts w:cs="Arial"/>
          <w:sz w:val="22"/>
          <w:szCs w:val="22"/>
        </w:rPr>
        <w:t>Prozessleitfaden „Netzbetreiberwechsel“</w:t>
      </w:r>
      <w:r w:rsidR="00E022A3" w:rsidRPr="00E148EB">
        <w:rPr>
          <w:rFonts w:cs="Arial"/>
          <w:sz w:val="22"/>
          <w:szCs w:val="22"/>
        </w:rPr>
        <w:t xml:space="preserve"> in der </w:t>
      </w:r>
      <w:r w:rsidR="00C23464" w:rsidRPr="00E148EB">
        <w:rPr>
          <w:rFonts w:cs="Arial"/>
          <w:sz w:val="22"/>
          <w:szCs w:val="22"/>
        </w:rPr>
        <w:t>jeweils</w:t>
      </w:r>
      <w:r w:rsidR="00456A77" w:rsidRPr="00E148EB">
        <w:rPr>
          <w:rFonts w:cs="Arial"/>
          <w:sz w:val="22"/>
          <w:szCs w:val="22"/>
        </w:rPr>
        <w:t xml:space="preserve"> in der Kooperationsvereinbarung </w:t>
      </w:r>
      <w:r w:rsidR="00C23464" w:rsidRPr="00E148EB">
        <w:rPr>
          <w:rFonts w:cs="Arial"/>
          <w:sz w:val="22"/>
          <w:szCs w:val="22"/>
        </w:rPr>
        <w:t xml:space="preserve">geltenden </w:t>
      </w:r>
      <w:r w:rsidR="00E022A3" w:rsidRPr="00E148EB">
        <w:rPr>
          <w:rFonts w:cs="Arial"/>
          <w:sz w:val="22"/>
          <w:szCs w:val="22"/>
        </w:rPr>
        <w:t>Fassung</w:t>
      </w:r>
      <w:r w:rsidR="00295E4F" w:rsidRPr="00E148EB">
        <w:rPr>
          <w:rFonts w:cs="Arial"/>
          <w:sz w:val="22"/>
          <w:szCs w:val="22"/>
        </w:rPr>
        <w:t>.</w:t>
      </w:r>
      <w:r w:rsidR="00C23464" w:rsidRPr="00E148EB">
        <w:rPr>
          <w:rFonts w:cs="Arial"/>
          <w:sz w:val="22"/>
          <w:szCs w:val="22"/>
        </w:rPr>
        <w:t xml:space="preserve"> </w:t>
      </w:r>
    </w:p>
    <w:p w14:paraId="2030F07F" w14:textId="77777777" w:rsidR="00261427" w:rsidRDefault="00261427" w:rsidP="00361CF2">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Ist der </w:t>
      </w:r>
      <w:r w:rsidR="00C76E4D" w:rsidRPr="00E148EB">
        <w:rPr>
          <w:rFonts w:cs="Arial"/>
          <w:sz w:val="22"/>
          <w:szCs w:val="22"/>
        </w:rPr>
        <w:t>Transportkunde</w:t>
      </w:r>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14:paraId="1086F641" w14:textId="77777777" w:rsidR="00A27FD6" w:rsidRPr="00E148EB" w:rsidRDefault="00A27FD6" w:rsidP="00361CF2">
      <w:pPr>
        <w:numPr>
          <w:ilvl w:val="0"/>
          <w:numId w:val="10"/>
        </w:numPr>
        <w:tabs>
          <w:tab w:val="left" w:pos="0"/>
        </w:tabs>
        <w:spacing w:before="120" w:line="240" w:lineRule="atLeast"/>
        <w:jc w:val="both"/>
        <w:rPr>
          <w:rFonts w:cs="Arial"/>
          <w:sz w:val="22"/>
          <w:szCs w:val="22"/>
        </w:rPr>
      </w:pPr>
      <w:r>
        <w:rPr>
          <w:rFonts w:cs="Arial"/>
          <w:sz w:val="22"/>
          <w:szCs w:val="22"/>
        </w:rPr>
        <w:t>Es gilt das deutsche Recht unter Ausschluss des zwischenstaatlichen Kollisionsrechts, soweit dieses nicht zwingendes Recht ist. UN-Kaufrecht ist ausgeschlossen.</w:t>
      </w:r>
    </w:p>
    <w:p w14:paraId="24A1E558" w14:textId="77777777"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r w:rsidR="00C23464" w:rsidRPr="00EB2953">
        <w:rPr>
          <w:rFonts w:cs="Arial"/>
          <w:sz w:val="22"/>
          <w:szCs w:val="22"/>
        </w:rPr>
        <w:t xml:space="preserve">Gas </w:t>
      </w:r>
      <w:r w:rsidRPr="0063678C">
        <w:rPr>
          <w:rFonts w:cs="Arial"/>
          <w:sz w:val="22"/>
          <w:szCs w:val="22"/>
        </w:rPr>
        <w:t xml:space="preserve">aus dem </w:t>
      </w: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r w:rsidRPr="0063678C">
        <w:rPr>
          <w:rFonts w:cs="Arial"/>
          <w:sz w:val="22"/>
          <w:szCs w:val="22"/>
        </w:rPr>
        <w:t>des Netzbetreibers unwirksam.</w:t>
      </w:r>
    </w:p>
    <w:p w14:paraId="71E8309D" w14:textId="77777777"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r w:rsidR="00E148EB">
        <w:rPr>
          <w:rFonts w:cs="Arial"/>
          <w:sz w:val="22"/>
          <w:szCs w:val="22"/>
        </w:rPr>
        <w:t>, soweit diese nicht in diesem Vertrag speziell geregelt sind,</w:t>
      </w:r>
      <w:r w:rsidRPr="00C45BAB">
        <w:rPr>
          <w:rFonts w:cs="Arial"/>
          <w:sz w:val="22"/>
          <w:szCs w:val="22"/>
        </w:rPr>
        <w:t xml:space="preserve"> bedürfen zu ihrer Wirksamkeit der </w:t>
      </w:r>
      <w:r w:rsidR="009977B3">
        <w:rPr>
          <w:rFonts w:cs="Arial"/>
          <w:sz w:val="22"/>
          <w:szCs w:val="22"/>
        </w:rPr>
        <w:t>Textform</w:t>
      </w:r>
      <w:r w:rsidRPr="00C45BAB">
        <w:rPr>
          <w:rFonts w:cs="Arial"/>
          <w:sz w:val="22"/>
          <w:szCs w:val="22"/>
        </w:rPr>
        <w:t xml:space="preserve">. Gleiches gilt für die Änderung </w:t>
      </w:r>
      <w:r w:rsidR="009977B3">
        <w:rPr>
          <w:rFonts w:cs="Arial"/>
          <w:sz w:val="22"/>
          <w:szCs w:val="22"/>
        </w:rPr>
        <w:t>dieser Klausel</w:t>
      </w:r>
      <w:r w:rsidRPr="00C45BAB">
        <w:rPr>
          <w:rFonts w:cs="Arial"/>
          <w:sz w:val="22"/>
          <w:szCs w:val="22"/>
        </w:rPr>
        <w:t>.</w:t>
      </w:r>
    </w:p>
    <w:p w14:paraId="739DFA75" w14:textId="77777777" w:rsidR="00261427" w:rsidRPr="00460FA3" w:rsidRDefault="00460FA3" w:rsidP="00460FA3">
      <w:pPr>
        <w:numPr>
          <w:ilvl w:val="0"/>
          <w:numId w:val="10"/>
        </w:numPr>
        <w:tabs>
          <w:tab w:val="left" w:pos="0"/>
        </w:tabs>
        <w:spacing w:before="120" w:line="240" w:lineRule="atLeast"/>
        <w:jc w:val="both"/>
        <w:rPr>
          <w:rFonts w:cs="Arial"/>
          <w:sz w:val="22"/>
          <w:szCs w:val="22"/>
        </w:rPr>
      </w:pPr>
      <w:r w:rsidRPr="00460FA3">
        <w:rPr>
          <w:rFonts w:cs="Arial"/>
          <w:sz w:val="22"/>
          <w:szCs w:val="22"/>
        </w:rPr>
        <w:t>Wenn dieser Vertrag schriftlich abgeschlossen wurde, erhält jeder Vertragspartner eine Ausfertigung. Die Möglichkeit des Vertragsabschlusses in anderer Form bleibt unberührt.</w:t>
      </w:r>
    </w:p>
    <w:p w14:paraId="0E9E4B6D" w14:textId="77777777" w:rsidR="00261427" w:rsidRPr="00CB4860" w:rsidRDefault="00E551D1" w:rsidP="00361CF2">
      <w:pPr>
        <w:pStyle w:val="berschrift3"/>
        <w:jc w:val="both"/>
        <w:rPr>
          <w:sz w:val="22"/>
          <w:szCs w:val="22"/>
        </w:rPr>
      </w:pPr>
      <w:bookmarkStart w:id="41" w:name="_Toc446244948"/>
      <w:bookmarkStart w:id="42" w:name="_Toc99480708"/>
      <w:r w:rsidRPr="00903218">
        <w:rPr>
          <w:sz w:val="22"/>
          <w:szCs w:val="22"/>
        </w:rPr>
        <w:t xml:space="preserve">§ </w:t>
      </w:r>
      <w:r w:rsidR="007C1791">
        <w:rPr>
          <w:sz w:val="22"/>
          <w:szCs w:val="22"/>
        </w:rPr>
        <w:t>19</w:t>
      </w:r>
      <w:r w:rsidR="006B29D0">
        <w:rPr>
          <w:sz w:val="22"/>
          <w:szCs w:val="22"/>
        </w:rPr>
        <w:t xml:space="preserve"> </w:t>
      </w:r>
      <w:r w:rsidR="00261427" w:rsidRPr="00CB4860">
        <w:rPr>
          <w:sz w:val="22"/>
          <w:szCs w:val="22"/>
        </w:rPr>
        <w:t>Anlagen</w:t>
      </w:r>
      <w:bookmarkEnd w:id="41"/>
      <w:bookmarkEnd w:id="42"/>
    </w:p>
    <w:p w14:paraId="69C03DE2" w14:textId="77777777"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14:paraId="0F12E42A" w14:textId="77777777" w:rsidR="00261427" w:rsidRPr="00D92EC9" w:rsidRDefault="002617B2" w:rsidP="00070F7F">
      <w:pPr>
        <w:spacing w:before="120" w:line="240" w:lineRule="atLeast"/>
        <w:ind w:left="360"/>
        <w:jc w:val="both"/>
        <w:rPr>
          <w:rFonts w:cs="Arial"/>
          <w:sz w:val="22"/>
          <w:szCs w:val="22"/>
        </w:rPr>
      </w:pPr>
      <w:r w:rsidRPr="00D92EC9">
        <w:rPr>
          <w:rFonts w:cs="Arial"/>
          <w:sz w:val="22"/>
          <w:szCs w:val="22"/>
        </w:rPr>
        <w:t>Anlage 1</w:t>
      </w:r>
      <w:r w:rsidR="008C7DB5">
        <w:rPr>
          <w:rFonts w:cs="Arial"/>
          <w:sz w:val="22"/>
          <w:szCs w:val="22"/>
        </w:rPr>
        <w:t>.</w:t>
      </w:r>
      <w:r w:rsidR="008C7DB5">
        <w:rPr>
          <w:rFonts w:cs="Arial"/>
          <w:sz w:val="22"/>
          <w:szCs w:val="22"/>
        </w:rPr>
        <w:tab/>
      </w:r>
      <w:r w:rsidR="009C2F0C" w:rsidRPr="00D92EC9">
        <w:rPr>
          <w:rFonts w:cs="Arial"/>
          <w:sz w:val="22"/>
          <w:szCs w:val="22"/>
        </w:rPr>
        <w:t>Preisblätter für den Netzzugang</w:t>
      </w:r>
    </w:p>
    <w:p w14:paraId="62C7E9A9" w14:textId="00F51492" w:rsidR="00261427" w:rsidRPr="007B1770" w:rsidRDefault="002617B2" w:rsidP="00070F7F">
      <w:pPr>
        <w:spacing w:before="120" w:line="240" w:lineRule="atLeast"/>
        <w:ind w:left="360"/>
        <w:jc w:val="both"/>
        <w:rPr>
          <w:rFonts w:cs="Arial"/>
          <w:sz w:val="22"/>
          <w:szCs w:val="22"/>
        </w:rPr>
      </w:pPr>
      <w:r w:rsidRPr="00D92EC9">
        <w:rPr>
          <w:rFonts w:cs="Arial"/>
          <w:sz w:val="22"/>
          <w:szCs w:val="22"/>
        </w:rPr>
        <w:t>Anlage 2</w:t>
      </w:r>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r w:rsidR="00C76E4D" w:rsidRPr="00D92EC9">
        <w:rPr>
          <w:rFonts w:cs="Arial"/>
          <w:sz w:val="22"/>
          <w:szCs w:val="22"/>
        </w:rPr>
        <w:t>Transportkunde</w:t>
      </w:r>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w:t>
      </w:r>
      <w:r w:rsidR="00AC21FA">
        <w:rPr>
          <w:rFonts w:cs="Arial"/>
          <w:sz w:val="22"/>
          <w:szCs w:val="22"/>
        </w:rPr>
        <w:t>X</w:t>
      </w:r>
      <w:r w:rsidR="00FC5273" w:rsidRPr="00D92EC9">
        <w:rPr>
          <w:rFonts w:cs="Arial"/>
          <w:sz w:val="22"/>
          <w:szCs w:val="22"/>
        </w:rPr>
        <w:t>-Format)</w:t>
      </w:r>
    </w:p>
    <w:p w14:paraId="2A5BE066" w14:textId="7DC7DF41" w:rsidR="00261427" w:rsidRPr="007B1770" w:rsidRDefault="002617B2" w:rsidP="00070F7F">
      <w:pPr>
        <w:spacing w:before="120" w:line="240" w:lineRule="atLeast"/>
        <w:ind w:left="360"/>
        <w:jc w:val="both"/>
        <w:rPr>
          <w:rFonts w:cs="Arial"/>
          <w:sz w:val="22"/>
          <w:szCs w:val="22"/>
        </w:rPr>
      </w:pPr>
      <w:r>
        <w:rPr>
          <w:rFonts w:cs="Arial"/>
          <w:sz w:val="22"/>
          <w:szCs w:val="22"/>
        </w:rPr>
        <w:t>Anlage 3</w:t>
      </w:r>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p>
    <w:p w14:paraId="21BC6107" w14:textId="77CCB161" w:rsidR="00222749" w:rsidRDefault="00222749" w:rsidP="00070F7F">
      <w:pPr>
        <w:spacing w:before="120" w:line="240" w:lineRule="atLeast"/>
        <w:ind w:left="705" w:hanging="345"/>
        <w:jc w:val="both"/>
        <w:rPr>
          <w:rFonts w:cs="Arial"/>
          <w:sz w:val="22"/>
          <w:szCs w:val="22"/>
        </w:rPr>
      </w:pPr>
      <w:r w:rsidRPr="008C035D">
        <w:rPr>
          <w:rFonts w:cs="Arial"/>
          <w:sz w:val="22"/>
          <w:szCs w:val="22"/>
        </w:rPr>
        <w:t>Anlage 4</w:t>
      </w:r>
      <w:r w:rsidR="008C035D">
        <w:rPr>
          <w:rFonts w:cs="Arial"/>
          <w:sz w:val="22"/>
          <w:szCs w:val="22"/>
        </w:rPr>
        <w:t>.</w:t>
      </w:r>
      <w:r w:rsidR="008C7DB5">
        <w:rPr>
          <w:rFonts w:cs="Arial"/>
          <w:sz w:val="22"/>
          <w:szCs w:val="22"/>
        </w:rPr>
        <w:tab/>
      </w:r>
      <w:r w:rsidRPr="008C035D">
        <w:rPr>
          <w:rFonts w:cs="Arial"/>
          <w:sz w:val="22"/>
          <w:szCs w:val="22"/>
        </w:rPr>
        <w:t>Ergänzende Geschäftsbedingungen</w:t>
      </w:r>
    </w:p>
    <w:p w14:paraId="52E31751" w14:textId="02BDBE51" w:rsidR="002617B2" w:rsidRPr="00D92EC9" w:rsidRDefault="002617B2" w:rsidP="00070F7F">
      <w:pPr>
        <w:spacing w:before="120" w:line="240" w:lineRule="atLeast"/>
        <w:ind w:left="705" w:hanging="345"/>
        <w:jc w:val="both"/>
        <w:rPr>
          <w:rFonts w:cs="Arial"/>
          <w:sz w:val="22"/>
          <w:szCs w:val="22"/>
        </w:rPr>
      </w:pPr>
      <w:r w:rsidRPr="00D92EC9">
        <w:rPr>
          <w:rFonts w:cs="Arial"/>
          <w:sz w:val="22"/>
          <w:szCs w:val="22"/>
        </w:rPr>
        <w:t xml:space="preserve">Anlage </w:t>
      </w:r>
      <w:r w:rsidR="00222749">
        <w:rPr>
          <w:rFonts w:cs="Arial"/>
          <w:sz w:val="22"/>
          <w:szCs w:val="22"/>
        </w:rPr>
        <w:t>5</w:t>
      </w:r>
      <w:r w:rsidR="00070F7F" w:rsidRPr="00D92EC9">
        <w:rPr>
          <w:rFonts w:cs="Arial"/>
          <w:sz w:val="22"/>
          <w:szCs w:val="22"/>
        </w:rPr>
        <w:t>.</w:t>
      </w:r>
      <w:r w:rsidR="00070F7F" w:rsidRPr="00D92EC9">
        <w:rPr>
          <w:rFonts w:cs="Arial"/>
          <w:sz w:val="22"/>
          <w:szCs w:val="22"/>
        </w:rPr>
        <w:tab/>
      </w: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p>
    <w:p w14:paraId="6D026D18" w14:textId="443AE871" w:rsidR="005579CB" w:rsidRDefault="00621942" w:rsidP="006F5B76">
      <w:pPr>
        <w:spacing w:before="120" w:line="240" w:lineRule="atLeast"/>
        <w:ind w:left="360"/>
        <w:jc w:val="both"/>
        <w:rPr>
          <w:rFonts w:cs="Arial"/>
          <w:sz w:val="22"/>
          <w:szCs w:val="22"/>
        </w:rPr>
      </w:pPr>
      <w:r w:rsidRPr="00D92EC9">
        <w:rPr>
          <w:rFonts w:cs="Arial"/>
          <w:sz w:val="22"/>
          <w:szCs w:val="22"/>
        </w:rPr>
        <w:t xml:space="preserve">Anlage </w:t>
      </w:r>
      <w:r w:rsidR="00222749">
        <w:rPr>
          <w:rFonts w:cs="Arial"/>
          <w:sz w:val="22"/>
          <w:szCs w:val="22"/>
        </w:rPr>
        <w:t>6</w:t>
      </w:r>
      <w:r w:rsidR="008D7D98">
        <w:rPr>
          <w:rFonts w:cs="Arial"/>
          <w:sz w:val="22"/>
          <w:szCs w:val="22"/>
        </w:rPr>
        <w:t>.</w:t>
      </w:r>
      <w:r w:rsidR="008C7DB5">
        <w:rPr>
          <w:rFonts w:cs="Arial"/>
          <w:sz w:val="22"/>
          <w:szCs w:val="22"/>
        </w:rPr>
        <w:tab/>
      </w:r>
      <w:r w:rsidRPr="00D92EC9">
        <w:rPr>
          <w:rFonts w:cs="Arial"/>
          <w:sz w:val="22"/>
          <w:szCs w:val="22"/>
        </w:rPr>
        <w:t>§ 18 NDAV</w:t>
      </w:r>
    </w:p>
    <w:p w14:paraId="1120166D" w14:textId="22F407AE" w:rsidR="00EE308E" w:rsidRDefault="009D17FA" w:rsidP="006F5B76">
      <w:pPr>
        <w:spacing w:before="120" w:line="240" w:lineRule="atLeast"/>
        <w:ind w:left="360"/>
        <w:jc w:val="both"/>
        <w:rPr>
          <w:rFonts w:cs="Arial"/>
          <w:sz w:val="22"/>
          <w:szCs w:val="22"/>
        </w:rPr>
      </w:pPr>
      <w:r>
        <w:rPr>
          <w:rFonts w:cs="Arial"/>
          <w:sz w:val="22"/>
          <w:szCs w:val="22"/>
        </w:rPr>
        <w:t xml:space="preserve">Anlage </w:t>
      </w:r>
      <w:r w:rsidR="00222749">
        <w:rPr>
          <w:rFonts w:cs="Arial"/>
          <w:sz w:val="22"/>
          <w:szCs w:val="22"/>
        </w:rPr>
        <w:t>7</w:t>
      </w:r>
      <w:r w:rsidR="008D7D98">
        <w:rPr>
          <w:rFonts w:cs="Arial"/>
          <w:sz w:val="22"/>
          <w:szCs w:val="22"/>
        </w:rPr>
        <w:t>.</w:t>
      </w:r>
      <w:r w:rsidR="008C7DB5">
        <w:rPr>
          <w:rFonts w:cs="Arial"/>
          <w:sz w:val="22"/>
          <w:szCs w:val="22"/>
        </w:rPr>
        <w:tab/>
      </w:r>
      <w:r>
        <w:rPr>
          <w:rFonts w:cs="Arial"/>
          <w:sz w:val="22"/>
          <w:szCs w:val="22"/>
        </w:rPr>
        <w:t>Begriffsbestimmungen</w:t>
      </w:r>
    </w:p>
    <w:p w14:paraId="17090BDF" w14:textId="77777777" w:rsidR="00EE308E" w:rsidRDefault="00EE308E">
      <w:pPr>
        <w:rPr>
          <w:rFonts w:cs="Arial"/>
          <w:sz w:val="22"/>
          <w:szCs w:val="22"/>
        </w:rPr>
      </w:pPr>
      <w:r>
        <w:rPr>
          <w:rFonts w:cs="Arial"/>
          <w:sz w:val="22"/>
          <w:szCs w:val="22"/>
        </w:rPr>
        <w:br w:type="page"/>
      </w:r>
    </w:p>
    <w:p w14:paraId="51192D4C" w14:textId="77777777" w:rsidR="007068CE" w:rsidRPr="006F5F70" w:rsidRDefault="006F5B76" w:rsidP="006F5F70">
      <w:pPr>
        <w:pStyle w:val="berschrift3"/>
        <w:rPr>
          <w:sz w:val="22"/>
          <w:szCs w:val="22"/>
        </w:rPr>
      </w:pPr>
      <w:bookmarkStart w:id="43" w:name="_Toc99480709"/>
      <w:r>
        <w:rPr>
          <w:sz w:val="22"/>
          <w:szCs w:val="22"/>
        </w:rPr>
        <w:t>Anlage 1</w:t>
      </w:r>
      <w:r w:rsidR="008D7D98">
        <w:rPr>
          <w:sz w:val="22"/>
          <w:szCs w:val="22"/>
        </w:rPr>
        <w:t>:</w:t>
      </w:r>
      <w:r>
        <w:rPr>
          <w:sz w:val="22"/>
          <w:szCs w:val="22"/>
        </w:rPr>
        <w:t xml:space="preserve"> Preisblätter für den Netzzugang</w:t>
      </w:r>
      <w:bookmarkEnd w:id="43"/>
    </w:p>
    <w:p w14:paraId="4DEB9ACB" w14:textId="77777777" w:rsidR="007068CE" w:rsidRDefault="007068CE" w:rsidP="008B1D4F">
      <w:pPr>
        <w:jc w:val="both"/>
        <w:rPr>
          <w:rFonts w:cs="Arial"/>
          <w:sz w:val="22"/>
          <w:szCs w:val="22"/>
        </w:rPr>
      </w:pPr>
    </w:p>
    <w:p w14:paraId="629E43F2" w14:textId="77777777" w:rsidR="006F5F70" w:rsidRDefault="006F5F70" w:rsidP="008B1D4F">
      <w:pPr>
        <w:jc w:val="both"/>
        <w:rPr>
          <w:rFonts w:cs="Arial"/>
          <w:sz w:val="22"/>
          <w:szCs w:val="22"/>
        </w:rPr>
      </w:pPr>
    </w:p>
    <w:p w14:paraId="6CA191D3" w14:textId="77777777" w:rsidR="006F5F70" w:rsidRDefault="006F5F70" w:rsidP="008B1D4F">
      <w:pPr>
        <w:jc w:val="both"/>
        <w:rPr>
          <w:rFonts w:cs="Arial"/>
          <w:sz w:val="22"/>
          <w:szCs w:val="22"/>
        </w:rPr>
      </w:pPr>
    </w:p>
    <w:p w14:paraId="0D642F9C" w14:textId="72CAEE6A" w:rsidR="00C00A9E" w:rsidRPr="007068CE" w:rsidRDefault="00C00A9E" w:rsidP="006E261B">
      <w:pPr>
        <w:pStyle w:val="berschrift3"/>
        <w:rPr>
          <w:b w:val="0"/>
          <w:sz w:val="22"/>
          <w:szCs w:val="22"/>
        </w:rPr>
      </w:pPr>
      <w:bookmarkStart w:id="44" w:name="_Toc99480710"/>
      <w:r w:rsidRPr="007068CE">
        <w:rPr>
          <w:sz w:val="22"/>
          <w:szCs w:val="22"/>
        </w:rPr>
        <w:t>Anlage 2: Kontaktdatenblatt Transportkunde/Netzbetreiber</w:t>
      </w:r>
      <w:bookmarkEnd w:id="44"/>
    </w:p>
    <w:p w14:paraId="57833323" w14:textId="77777777" w:rsidR="00492E68" w:rsidRDefault="00492E68" w:rsidP="008B1D4F">
      <w:pPr>
        <w:jc w:val="both"/>
        <w:rPr>
          <w:rFonts w:cs="Arial"/>
          <w:sz w:val="22"/>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A62729" w14:paraId="1E56CFCA" w14:textId="77777777" w:rsidTr="00EF33A4">
        <w:trPr>
          <w:trHeight w:val="360"/>
        </w:trPr>
        <w:tc>
          <w:tcPr>
            <w:tcW w:w="7276" w:type="dxa"/>
            <w:gridSpan w:val="3"/>
            <w:tcBorders>
              <w:top w:val="nil"/>
              <w:left w:val="nil"/>
              <w:bottom w:val="nil"/>
              <w:right w:val="nil"/>
            </w:tcBorders>
            <w:shd w:val="clear" w:color="auto" w:fill="auto"/>
            <w:noWrap/>
            <w:vAlign w:val="bottom"/>
            <w:hideMark/>
          </w:tcPr>
          <w:p w14:paraId="5F4D99C8" w14:textId="77777777"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14:paraId="3F118637" w14:textId="77777777" w:rsidR="00492E68" w:rsidRPr="00A62729" w:rsidRDefault="00492E68" w:rsidP="00EF33A4">
            <w:pPr>
              <w:jc w:val="right"/>
              <w:rPr>
                <w:rFonts w:cs="Arial"/>
                <w:color w:val="000000"/>
                <w:sz w:val="18"/>
                <w:szCs w:val="18"/>
              </w:rPr>
            </w:pPr>
            <w:r w:rsidRPr="00A62729">
              <w:rPr>
                <w:rFonts w:cs="Arial"/>
                <w:color w:val="000000"/>
                <w:sz w:val="18"/>
                <w:szCs w:val="18"/>
              </w:rPr>
              <w:t xml:space="preserve">Stand: </w:t>
            </w:r>
          </w:p>
        </w:tc>
      </w:tr>
      <w:tr w:rsidR="00492E68" w:rsidRPr="00A62729" w14:paraId="13933139" w14:textId="77777777"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036E29C4" w14:textId="77777777"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14:paraId="3444EC37"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14:paraId="5326D3AB" w14:textId="77777777"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14:paraId="283F0C6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0D412FB" w14:textId="77777777"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E8CE4C"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1C5E01CA"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5CBC09C" w14:textId="77777777"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A8D772"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66E9CFF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D775FE6" w14:textId="77777777"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A6D944"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24F3072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2DBC412" w14:textId="77777777"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FDA6C1"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24A5ACB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A65BF6E" w14:textId="77777777"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6DA026"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7CF929B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2DEE8CF" w14:textId="77777777"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14:paraId="3C95ECE5"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14:paraId="5EADE0AA"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F90B193"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268867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DC359F4" w14:textId="77777777"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A5ED043"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52637AA7" w14:textId="77777777" w:rsidTr="00EF33A4">
        <w:trPr>
          <w:trHeight w:val="102"/>
        </w:trPr>
        <w:tc>
          <w:tcPr>
            <w:tcW w:w="3369" w:type="dxa"/>
            <w:tcBorders>
              <w:top w:val="nil"/>
              <w:left w:val="nil"/>
              <w:bottom w:val="nil"/>
              <w:right w:val="nil"/>
            </w:tcBorders>
            <w:shd w:val="clear" w:color="auto" w:fill="auto"/>
            <w:noWrap/>
            <w:vAlign w:val="bottom"/>
            <w:hideMark/>
          </w:tcPr>
          <w:p w14:paraId="6EFB3AD3" w14:textId="77777777"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370CA850" w14:textId="77777777"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7BA1E20C" w14:textId="77777777"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0C69D029" w14:textId="77777777" w:rsidR="00492E68" w:rsidRPr="00A62729" w:rsidRDefault="00492E68" w:rsidP="00EF33A4">
            <w:pPr>
              <w:jc w:val="center"/>
              <w:rPr>
                <w:rFonts w:cs="Arial"/>
                <w:color w:val="000000"/>
                <w:sz w:val="20"/>
                <w:szCs w:val="20"/>
              </w:rPr>
            </w:pPr>
          </w:p>
        </w:tc>
      </w:tr>
      <w:tr w:rsidR="00492E68" w:rsidRPr="00A62729" w14:paraId="3AB1EEEE" w14:textId="77777777"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6536A1" w14:textId="77777777"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EED8FC9" w14:textId="77777777" w:rsidR="00492E68" w:rsidRPr="00A62729" w:rsidRDefault="009A79A8" w:rsidP="009A79A8">
            <w:pPr>
              <w:rPr>
                <w:rFonts w:cs="Arial"/>
                <w:b/>
                <w:bCs/>
                <w:color w:val="000000"/>
                <w:sz w:val="18"/>
                <w:szCs w:val="18"/>
              </w:rPr>
            </w:pPr>
            <w:r>
              <w:rPr>
                <w:rFonts w:cs="Arial"/>
                <w:b/>
                <w:bCs/>
                <w:color w:val="000000"/>
                <w:sz w:val="18"/>
                <w:szCs w:val="18"/>
              </w:rPr>
              <w:t>DVGW</w:t>
            </w:r>
            <w:r w:rsidR="00492E68" w:rsidRPr="00A62729">
              <w:rPr>
                <w:rFonts w:cs="Arial"/>
                <w:b/>
                <w:bCs/>
                <w:color w:val="000000"/>
                <w:sz w:val="18"/>
                <w:szCs w:val="18"/>
              </w:rPr>
              <w:t xml:space="preserve">-Codenummern / Global Location Number (GLN) </w:t>
            </w:r>
            <w:r>
              <w:rPr>
                <w:rFonts w:cs="Arial"/>
                <w:b/>
                <w:bCs/>
                <w:color w:val="000000"/>
                <w:sz w:val="18"/>
                <w:szCs w:val="18"/>
              </w:rPr>
              <w:t>Gas</w:t>
            </w:r>
          </w:p>
        </w:tc>
      </w:tr>
      <w:tr w:rsidR="00492E68" w:rsidRPr="00A62729" w14:paraId="39778F3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728034A" w14:textId="77777777"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131E20"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06749711"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ABDDF70" w14:textId="77777777"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3196D8"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CB0DE9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41D41C4D" w14:textId="77777777" w:rsidR="00492E68" w:rsidRPr="00A62729" w:rsidRDefault="00492E68" w:rsidP="00EF33A4">
            <w:pPr>
              <w:rPr>
                <w:rFonts w:cs="Arial"/>
                <w:color w:val="000000"/>
                <w:sz w:val="18"/>
                <w:szCs w:val="18"/>
              </w:rPr>
            </w:pP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014E8780"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304B170" w14:textId="77777777" w:rsidTr="00EF33A4">
        <w:trPr>
          <w:trHeight w:val="102"/>
        </w:trPr>
        <w:tc>
          <w:tcPr>
            <w:tcW w:w="3369" w:type="dxa"/>
            <w:tcBorders>
              <w:top w:val="nil"/>
              <w:left w:val="nil"/>
              <w:bottom w:val="nil"/>
              <w:right w:val="nil"/>
            </w:tcBorders>
            <w:shd w:val="clear" w:color="auto" w:fill="auto"/>
            <w:noWrap/>
            <w:vAlign w:val="bottom"/>
            <w:hideMark/>
          </w:tcPr>
          <w:p w14:paraId="68581D52"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769CF9F"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514ED1C4"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7D21F39" w14:textId="77777777" w:rsidR="00492E68" w:rsidRPr="00A62729" w:rsidRDefault="00492E68" w:rsidP="00EF33A4">
            <w:pPr>
              <w:jc w:val="center"/>
              <w:rPr>
                <w:rFonts w:cs="Arial"/>
                <w:color w:val="000000"/>
                <w:sz w:val="18"/>
                <w:szCs w:val="18"/>
              </w:rPr>
            </w:pPr>
          </w:p>
        </w:tc>
      </w:tr>
      <w:tr w:rsidR="00492E68" w:rsidRPr="00A62729" w14:paraId="6DF10F5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617E676" w14:textId="77777777" w:rsidR="00492E68" w:rsidRPr="009A79A8" w:rsidRDefault="00492E68" w:rsidP="00EF33A4">
            <w:pPr>
              <w:rPr>
                <w:rFonts w:cs="Arial"/>
                <w:b/>
                <w:bCs/>
                <w:color w:val="000000"/>
                <w:sz w:val="18"/>
                <w:szCs w:val="18"/>
              </w:rPr>
            </w:pPr>
          </w:p>
        </w:tc>
      </w:tr>
      <w:tr w:rsidR="00492E68" w:rsidRPr="00A62729" w14:paraId="5F1B49BD"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3E73C1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68F978B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5986144"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01D8394F"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E6785CD" w14:textId="77777777" w:rsidTr="00EF33A4">
        <w:trPr>
          <w:trHeight w:val="102"/>
        </w:trPr>
        <w:tc>
          <w:tcPr>
            <w:tcW w:w="3369" w:type="dxa"/>
            <w:tcBorders>
              <w:top w:val="nil"/>
              <w:left w:val="nil"/>
              <w:bottom w:val="nil"/>
              <w:right w:val="nil"/>
            </w:tcBorders>
            <w:shd w:val="clear" w:color="auto" w:fill="auto"/>
            <w:noWrap/>
            <w:vAlign w:val="bottom"/>
            <w:hideMark/>
          </w:tcPr>
          <w:p w14:paraId="34E8C0CA"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6038C9CA"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7DA2445D"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52598E6" w14:textId="77777777" w:rsidR="00492E68" w:rsidRPr="00A62729" w:rsidRDefault="00492E68" w:rsidP="00EF33A4">
            <w:pPr>
              <w:jc w:val="center"/>
              <w:rPr>
                <w:rFonts w:cs="Arial"/>
                <w:color w:val="000000"/>
                <w:sz w:val="18"/>
                <w:szCs w:val="18"/>
              </w:rPr>
            </w:pPr>
          </w:p>
        </w:tc>
      </w:tr>
      <w:tr w:rsidR="00492E68" w:rsidRPr="00A62729" w14:paraId="73B6236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484BF93" w14:textId="77777777"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14:paraId="341ABB72" w14:textId="77777777"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79C8D7"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14:paraId="38DA4852" w14:textId="77777777" w:rsidTr="00EF33A4">
        <w:trPr>
          <w:trHeight w:val="75"/>
        </w:trPr>
        <w:tc>
          <w:tcPr>
            <w:tcW w:w="3369" w:type="dxa"/>
            <w:tcBorders>
              <w:top w:val="nil"/>
              <w:left w:val="nil"/>
              <w:bottom w:val="nil"/>
              <w:right w:val="nil"/>
            </w:tcBorders>
            <w:shd w:val="clear" w:color="auto" w:fill="auto"/>
            <w:noWrap/>
            <w:vAlign w:val="bottom"/>
            <w:hideMark/>
          </w:tcPr>
          <w:p w14:paraId="0095C801"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D267BB3" w14:textId="77777777"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8643163" w14:textId="77777777"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6C75A26" w14:textId="77777777" w:rsidR="00492E68" w:rsidRPr="00A62729" w:rsidRDefault="00492E68" w:rsidP="00EF33A4">
            <w:pPr>
              <w:rPr>
                <w:rFonts w:cs="Arial"/>
                <w:color w:val="000000"/>
                <w:sz w:val="18"/>
                <w:szCs w:val="18"/>
              </w:rPr>
            </w:pPr>
          </w:p>
        </w:tc>
      </w:tr>
      <w:tr w:rsidR="00492E68" w:rsidRPr="00A62729" w14:paraId="31FD45E9" w14:textId="77777777" w:rsidTr="00EF33A4">
        <w:trPr>
          <w:trHeight w:val="495"/>
        </w:trPr>
        <w:tc>
          <w:tcPr>
            <w:tcW w:w="9572" w:type="dxa"/>
            <w:gridSpan w:val="4"/>
            <w:tcBorders>
              <w:top w:val="nil"/>
              <w:left w:val="nil"/>
              <w:bottom w:val="nil"/>
              <w:right w:val="nil"/>
            </w:tcBorders>
            <w:shd w:val="clear" w:color="auto" w:fill="auto"/>
            <w:hideMark/>
          </w:tcPr>
          <w:p w14:paraId="29155226" w14:textId="77777777"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14:paraId="474FBF63" w14:textId="77777777" w:rsidTr="00EF33A4">
        <w:trPr>
          <w:trHeight w:val="240"/>
        </w:trPr>
        <w:tc>
          <w:tcPr>
            <w:tcW w:w="9572" w:type="dxa"/>
            <w:gridSpan w:val="4"/>
            <w:tcBorders>
              <w:top w:val="nil"/>
              <w:left w:val="nil"/>
              <w:bottom w:val="nil"/>
              <w:right w:val="nil"/>
            </w:tcBorders>
            <w:shd w:val="clear" w:color="auto" w:fill="auto"/>
            <w:vAlign w:val="bottom"/>
            <w:hideMark/>
          </w:tcPr>
          <w:p w14:paraId="5C6FC7C5" w14:textId="77777777"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14:paraId="6CCBF1EA"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96E053E" w14:textId="77777777"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14:paraId="3E346268" w14:textId="77777777"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14:paraId="670C8867"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14:paraId="66D9D4EC"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4DCA4517"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3C957A6"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11BD0A7C"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AB00738" w14:textId="77777777"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14:paraId="4E11EE92"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0FA415D"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3BAA5CF6"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14:paraId="3E8439F2"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1C47E49B" w14:textId="0A5EB98F" w:rsidR="00492E68" w:rsidRPr="00A62729" w:rsidRDefault="00492E68" w:rsidP="00EF33A4">
            <w:pPr>
              <w:rPr>
                <w:rFonts w:cs="Arial"/>
                <w:color w:val="000000"/>
                <w:sz w:val="18"/>
                <w:szCs w:val="18"/>
              </w:rPr>
            </w:pPr>
            <w:r w:rsidRPr="00A62729">
              <w:rPr>
                <w:rFonts w:cs="Arial"/>
                <w:color w:val="000000"/>
                <w:sz w:val="18"/>
                <w:szCs w:val="18"/>
              </w:rPr>
              <w:t>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14:paraId="0D19D29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2AFF0B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2B2C033"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A762DDE"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1AFD573" w14:textId="225A59E4" w:rsidR="00492E68" w:rsidRPr="00A62729" w:rsidRDefault="00492E68" w:rsidP="00EF33A4">
            <w:pPr>
              <w:rPr>
                <w:rFonts w:cs="Arial"/>
                <w:color w:val="000000"/>
                <w:sz w:val="18"/>
                <w:szCs w:val="18"/>
              </w:rPr>
            </w:pPr>
            <w:r w:rsidRPr="00A62729">
              <w:rPr>
                <w:rFonts w:cs="Arial"/>
                <w:color w:val="000000"/>
                <w:sz w:val="18"/>
                <w:szCs w:val="18"/>
              </w:rPr>
              <w:t>EDI-Vereinbarung</w:t>
            </w:r>
          </w:p>
        </w:tc>
        <w:tc>
          <w:tcPr>
            <w:tcW w:w="2906" w:type="dxa"/>
            <w:tcBorders>
              <w:top w:val="nil"/>
              <w:left w:val="single" w:sz="4" w:space="0" w:color="auto"/>
              <w:bottom w:val="nil"/>
              <w:right w:val="single" w:sz="4" w:space="0" w:color="auto"/>
            </w:tcBorders>
            <w:shd w:val="clear" w:color="auto" w:fill="auto"/>
            <w:noWrap/>
            <w:vAlign w:val="bottom"/>
            <w:hideMark/>
          </w:tcPr>
          <w:p w14:paraId="019C832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C5F679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317286A"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CB22F7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2CA82CE" w14:textId="77777777" w:rsidR="00492E68" w:rsidRPr="009A79A8" w:rsidRDefault="00492E68" w:rsidP="00EF33A4">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14:paraId="1E08D48E"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53CF1C8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4B8587A9"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DB4605E"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AD3D69A" w14:textId="71EC63D3" w:rsidR="00492E68" w:rsidRPr="00A62729" w:rsidRDefault="00492E68" w:rsidP="003003F0">
            <w:pPr>
              <w:rPr>
                <w:rFonts w:cs="Arial"/>
                <w:color w:val="000000"/>
                <w:sz w:val="18"/>
                <w:szCs w:val="18"/>
              </w:rPr>
            </w:pPr>
            <w:r w:rsidRPr="00A62729">
              <w:rPr>
                <w:rFonts w:cs="Arial"/>
                <w:color w:val="000000"/>
                <w:sz w:val="18"/>
                <w:szCs w:val="18"/>
              </w:rPr>
              <w:t>MSB</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6BDC9AC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92A8D0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071ED96"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8A6B21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BE1DDED" w14:textId="77777777"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14:paraId="630B969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4E9D730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953A327"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78D919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5E0AC231" w14:textId="06D16551" w:rsidR="00492E68" w:rsidRPr="00A62729" w:rsidRDefault="00492E68" w:rsidP="00EF33A4">
            <w:pPr>
              <w:rPr>
                <w:rFonts w:cs="Arial"/>
                <w:color w:val="000000"/>
                <w:sz w:val="18"/>
                <w:szCs w:val="18"/>
              </w:rPr>
            </w:pPr>
            <w:r w:rsidRPr="00A62729">
              <w:rPr>
                <w:rFonts w:cs="Arial"/>
                <w:color w:val="000000"/>
                <w:sz w:val="18"/>
                <w:szCs w:val="18"/>
              </w:rPr>
              <w:t>allgemeine Themen</w:t>
            </w:r>
          </w:p>
        </w:tc>
        <w:tc>
          <w:tcPr>
            <w:tcW w:w="2906" w:type="dxa"/>
            <w:tcBorders>
              <w:top w:val="nil"/>
              <w:left w:val="single" w:sz="4" w:space="0" w:color="auto"/>
              <w:bottom w:val="nil"/>
              <w:right w:val="single" w:sz="4" w:space="0" w:color="auto"/>
            </w:tcBorders>
            <w:shd w:val="clear" w:color="auto" w:fill="auto"/>
            <w:noWrap/>
            <w:vAlign w:val="bottom"/>
            <w:hideMark/>
          </w:tcPr>
          <w:p w14:paraId="5DC8C79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7A9DB40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F0FADDC"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23C6EF8"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D16F7F7" w14:textId="6F007EDF" w:rsidR="00492E68" w:rsidRPr="00A62729" w:rsidRDefault="00492E68" w:rsidP="00EF33A4">
            <w:pPr>
              <w:rPr>
                <w:rFonts w:cs="Arial"/>
                <w:color w:val="000000"/>
                <w:sz w:val="18"/>
                <w:szCs w:val="18"/>
              </w:rPr>
            </w:pPr>
            <w:r w:rsidRPr="00A62729">
              <w:rPr>
                <w:rFonts w:cs="Arial"/>
                <w:color w:val="000000"/>
                <w:sz w:val="18"/>
                <w:szCs w:val="18"/>
              </w:rPr>
              <w:t>Umstellung INVOIC</w:t>
            </w:r>
          </w:p>
        </w:tc>
        <w:tc>
          <w:tcPr>
            <w:tcW w:w="2906" w:type="dxa"/>
            <w:tcBorders>
              <w:top w:val="nil"/>
              <w:left w:val="single" w:sz="4" w:space="0" w:color="auto"/>
              <w:bottom w:val="nil"/>
              <w:right w:val="single" w:sz="4" w:space="0" w:color="auto"/>
            </w:tcBorders>
            <w:shd w:val="clear" w:color="auto" w:fill="auto"/>
            <w:noWrap/>
            <w:vAlign w:val="bottom"/>
            <w:hideMark/>
          </w:tcPr>
          <w:p w14:paraId="35339BB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17E9A54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797680E9"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0E071E6D"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7379F18A" w14:textId="6345D348" w:rsidR="00492E68" w:rsidRPr="00A62729" w:rsidRDefault="00492E68" w:rsidP="00EF33A4">
            <w:pPr>
              <w:rPr>
                <w:rFonts w:cs="Arial"/>
                <w:color w:val="000000"/>
                <w:sz w:val="18"/>
                <w:szCs w:val="18"/>
              </w:rPr>
            </w:pPr>
            <w:r w:rsidRPr="00A62729">
              <w:rPr>
                <w:rFonts w:cs="Arial"/>
                <w:color w:val="000000"/>
                <w:sz w:val="18"/>
                <w:szCs w:val="18"/>
              </w:rPr>
              <w:t>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283425F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3A1E8E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5717E4D"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B5AB0DD" w14:textId="77777777" w:rsidTr="00EF33A4">
        <w:trPr>
          <w:trHeight w:val="102"/>
        </w:trPr>
        <w:tc>
          <w:tcPr>
            <w:tcW w:w="3369" w:type="dxa"/>
            <w:tcBorders>
              <w:top w:val="nil"/>
              <w:left w:val="nil"/>
              <w:bottom w:val="nil"/>
              <w:right w:val="nil"/>
            </w:tcBorders>
            <w:shd w:val="clear" w:color="auto" w:fill="auto"/>
            <w:noWrap/>
            <w:vAlign w:val="bottom"/>
            <w:hideMark/>
          </w:tcPr>
          <w:p w14:paraId="4226F5E4" w14:textId="77777777"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6BB411CE" w14:textId="77777777"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761BEDD7" w14:textId="77777777"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2880416D" w14:textId="77777777" w:rsidR="00492E68" w:rsidRPr="00A62729" w:rsidRDefault="00492E68" w:rsidP="00EF33A4">
            <w:pPr>
              <w:jc w:val="center"/>
              <w:rPr>
                <w:rFonts w:cs="Arial"/>
                <w:color w:val="000000"/>
                <w:sz w:val="20"/>
                <w:szCs w:val="20"/>
              </w:rPr>
            </w:pPr>
          </w:p>
        </w:tc>
      </w:tr>
      <w:tr w:rsidR="00492E68" w:rsidRPr="00A62729" w14:paraId="4B65890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13FE5F4" w14:textId="77777777"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r w:rsidR="009A79A8">
              <w:rPr>
                <w:rFonts w:cs="Arial"/>
                <w:b/>
                <w:bCs/>
                <w:color w:val="000000"/>
                <w:sz w:val="18"/>
                <w:szCs w:val="18"/>
              </w:rPr>
              <w:t>GeLi Gas</w:t>
            </w:r>
            <w:r>
              <w:rPr>
                <w:rFonts w:cs="Arial"/>
                <w:b/>
                <w:bCs/>
                <w:color w:val="000000"/>
                <w:sz w:val="18"/>
                <w:szCs w:val="18"/>
              </w:rPr>
              <w:t xml:space="preserve"> </w:t>
            </w:r>
          </w:p>
        </w:tc>
      </w:tr>
      <w:tr w:rsidR="00492E68" w:rsidRPr="00A62729" w14:paraId="1EF6AEB6"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1476F2C"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7C80AE57"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6FAD4B1F"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627C67E"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7B6C76E1"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789934E9" w14:textId="77777777"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14:paraId="288FC2B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E2D818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2CF07D7"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E5894B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B198349" w14:textId="44EB3EF1" w:rsidR="00492E68" w:rsidRPr="00A62729" w:rsidRDefault="00492E68" w:rsidP="00EF33A4">
            <w:pPr>
              <w:rPr>
                <w:rFonts w:cs="Arial"/>
                <w:color w:val="000000"/>
                <w:sz w:val="18"/>
                <w:szCs w:val="18"/>
              </w:rPr>
            </w:pPr>
            <w:r w:rsidRPr="00A62729">
              <w:rPr>
                <w:rFonts w:cs="Arial"/>
                <w:color w:val="000000"/>
                <w:sz w:val="18"/>
                <w:szCs w:val="18"/>
              </w:rPr>
              <w:t>Lieferantenwechsel</w:t>
            </w:r>
          </w:p>
        </w:tc>
        <w:tc>
          <w:tcPr>
            <w:tcW w:w="2906" w:type="dxa"/>
            <w:tcBorders>
              <w:top w:val="nil"/>
              <w:left w:val="nil"/>
              <w:bottom w:val="single" w:sz="4" w:space="0" w:color="auto"/>
              <w:right w:val="single" w:sz="4" w:space="0" w:color="auto"/>
            </w:tcBorders>
            <w:shd w:val="clear" w:color="auto" w:fill="auto"/>
            <w:noWrap/>
            <w:vAlign w:val="bottom"/>
            <w:hideMark/>
          </w:tcPr>
          <w:p w14:paraId="6CCE509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F5F51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3C742C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FD80CE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74E2FF0" w14:textId="77777777"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14:paraId="5D91BC8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AFAD65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3FEC4FE"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763055F"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E72EDF4" w14:textId="77777777"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14:paraId="5A1F77C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4436B8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9811082"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4F6143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CD1E58E" w14:textId="651B61A7" w:rsidR="00492E68" w:rsidRPr="00A62729" w:rsidRDefault="00492E68" w:rsidP="00EF33A4">
            <w:pPr>
              <w:rPr>
                <w:rFonts w:cs="Arial"/>
                <w:color w:val="000000"/>
                <w:sz w:val="18"/>
                <w:szCs w:val="18"/>
              </w:rPr>
            </w:pPr>
            <w:r w:rsidRPr="00A62729">
              <w:rPr>
                <w:rFonts w:cs="Arial"/>
                <w:color w:val="000000"/>
                <w:sz w:val="18"/>
                <w:szCs w:val="18"/>
              </w:rPr>
              <w:t>Zahlungsverkehr</w:t>
            </w:r>
          </w:p>
        </w:tc>
        <w:tc>
          <w:tcPr>
            <w:tcW w:w="2906" w:type="dxa"/>
            <w:tcBorders>
              <w:top w:val="nil"/>
              <w:left w:val="nil"/>
              <w:bottom w:val="nil"/>
              <w:right w:val="single" w:sz="4" w:space="0" w:color="auto"/>
            </w:tcBorders>
            <w:shd w:val="clear" w:color="auto" w:fill="auto"/>
            <w:noWrap/>
            <w:vAlign w:val="bottom"/>
            <w:hideMark/>
          </w:tcPr>
          <w:p w14:paraId="6B603C7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5FCB72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B0B8B9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321DA09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F715F77" w14:textId="120D7592" w:rsidR="00492E68" w:rsidRPr="00A62729" w:rsidRDefault="00492E68" w:rsidP="00EF33A4">
            <w:pPr>
              <w:rPr>
                <w:rFonts w:cs="Arial"/>
                <w:color w:val="000000"/>
                <w:sz w:val="18"/>
                <w:szCs w:val="18"/>
              </w:rPr>
            </w:pPr>
            <w:r w:rsidRPr="00A62729">
              <w:rPr>
                <w:rFonts w:cs="Arial"/>
                <w:color w:val="000000"/>
                <w:sz w:val="18"/>
                <w:szCs w:val="18"/>
              </w:rPr>
              <w:t>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14:paraId="5B680C9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B86EE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B8255AC"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5A29ED4"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5A5C8E5" w14:textId="77777777"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14:paraId="3418DA7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8813EC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5152195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56B1A7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5AB419C2" w14:textId="005DB1D6" w:rsidR="00492E68" w:rsidRPr="00A62729" w:rsidRDefault="009A79A8" w:rsidP="009A79A8">
            <w:pPr>
              <w:rPr>
                <w:rFonts w:cs="Arial"/>
                <w:color w:val="000000"/>
                <w:sz w:val="18"/>
                <w:szCs w:val="18"/>
              </w:rPr>
            </w:pPr>
            <w:r>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14:paraId="4A4D132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9E4735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C28D47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0C1E742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8E232A6" w14:textId="257C0615" w:rsidR="00492E68" w:rsidRPr="00A62729" w:rsidRDefault="00492E68" w:rsidP="009A79A8">
            <w:pPr>
              <w:rPr>
                <w:rFonts w:cs="Arial"/>
                <w:color w:val="000000"/>
                <w:sz w:val="18"/>
                <w:szCs w:val="18"/>
              </w:rPr>
            </w:pPr>
          </w:p>
        </w:tc>
        <w:tc>
          <w:tcPr>
            <w:tcW w:w="2906" w:type="dxa"/>
            <w:tcBorders>
              <w:top w:val="nil"/>
              <w:left w:val="nil"/>
              <w:bottom w:val="single" w:sz="4" w:space="0" w:color="auto"/>
              <w:right w:val="single" w:sz="4" w:space="0" w:color="auto"/>
            </w:tcBorders>
            <w:shd w:val="clear" w:color="auto" w:fill="auto"/>
            <w:noWrap/>
            <w:vAlign w:val="bottom"/>
            <w:hideMark/>
          </w:tcPr>
          <w:p w14:paraId="78BDDCB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26C99DE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FBC0BD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0FB59DC"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7599445" w14:textId="77777777"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14:paraId="1299C7B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08FE7F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BC1B2F6"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FA18C0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5B34C99" w14:textId="4BFAD7A5" w:rsidR="00492E68" w:rsidRPr="00A62729" w:rsidRDefault="00492E68" w:rsidP="00EF33A4">
            <w:pPr>
              <w:rPr>
                <w:rFonts w:cs="Arial"/>
                <w:color w:val="000000"/>
                <w:sz w:val="18"/>
                <w:szCs w:val="18"/>
              </w:rPr>
            </w:pPr>
            <w:r w:rsidRPr="00A62729">
              <w:rPr>
                <w:rFonts w:cs="Arial"/>
                <w:color w:val="000000"/>
                <w:sz w:val="18"/>
                <w:szCs w:val="18"/>
              </w:rPr>
              <w:t>Clearing</w:t>
            </w:r>
          </w:p>
        </w:tc>
        <w:tc>
          <w:tcPr>
            <w:tcW w:w="2906" w:type="dxa"/>
            <w:tcBorders>
              <w:top w:val="nil"/>
              <w:left w:val="nil"/>
              <w:bottom w:val="single" w:sz="4" w:space="0" w:color="auto"/>
              <w:right w:val="single" w:sz="4" w:space="0" w:color="auto"/>
            </w:tcBorders>
            <w:shd w:val="clear" w:color="auto" w:fill="auto"/>
            <w:noWrap/>
            <w:vAlign w:val="bottom"/>
            <w:hideMark/>
          </w:tcPr>
          <w:p w14:paraId="7A8E773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7FD5D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313B6BC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2FF7D30D" w14:textId="77777777" w:rsidTr="00EF33A4">
        <w:trPr>
          <w:trHeight w:val="102"/>
        </w:trPr>
        <w:tc>
          <w:tcPr>
            <w:tcW w:w="3369" w:type="dxa"/>
            <w:tcBorders>
              <w:top w:val="nil"/>
              <w:left w:val="nil"/>
              <w:bottom w:val="nil"/>
              <w:right w:val="nil"/>
            </w:tcBorders>
            <w:shd w:val="clear" w:color="auto" w:fill="auto"/>
            <w:noWrap/>
            <w:vAlign w:val="bottom"/>
            <w:hideMark/>
          </w:tcPr>
          <w:p w14:paraId="0384C162"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6FB76DD"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480BC0D8"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5F20007" w14:textId="77777777" w:rsidR="00492E68" w:rsidRPr="00A62729" w:rsidRDefault="00492E68" w:rsidP="00EF33A4">
            <w:pPr>
              <w:jc w:val="center"/>
              <w:rPr>
                <w:rFonts w:cs="Arial"/>
                <w:color w:val="000000"/>
                <w:sz w:val="18"/>
                <w:szCs w:val="18"/>
              </w:rPr>
            </w:pPr>
          </w:p>
        </w:tc>
      </w:tr>
      <w:tr w:rsidR="00492E68" w:rsidRPr="00A62729" w14:paraId="2EB61208"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16870A4" w14:textId="77777777"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14:paraId="06920B4A"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9DE7734"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068FC582"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5498C7DE"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04387FF8"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114D13CB"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2BC7C038" w14:textId="77777777"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2925EFE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F701B7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7AD9D1A8"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60FABF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4FD0CAA" w14:textId="50563D8A" w:rsidR="00492E68" w:rsidRPr="00A62729" w:rsidRDefault="00492E68" w:rsidP="00EF33A4">
            <w:pPr>
              <w:rPr>
                <w:rFonts w:cs="Arial"/>
                <w:color w:val="000000"/>
                <w:sz w:val="18"/>
                <w:szCs w:val="18"/>
              </w:rPr>
            </w:pPr>
            <w:r w:rsidRPr="00A62729">
              <w:rPr>
                <w:rFonts w:cs="Arial"/>
                <w:color w:val="000000"/>
                <w:sz w:val="18"/>
                <w:szCs w:val="18"/>
              </w:rPr>
              <w:t>Zählerstände SLP</w:t>
            </w:r>
          </w:p>
        </w:tc>
        <w:tc>
          <w:tcPr>
            <w:tcW w:w="2906" w:type="dxa"/>
            <w:tcBorders>
              <w:top w:val="nil"/>
              <w:left w:val="nil"/>
              <w:bottom w:val="single" w:sz="4" w:space="0" w:color="auto"/>
              <w:right w:val="single" w:sz="4" w:space="0" w:color="auto"/>
            </w:tcBorders>
            <w:shd w:val="clear" w:color="auto" w:fill="auto"/>
            <w:noWrap/>
            <w:vAlign w:val="bottom"/>
            <w:hideMark/>
          </w:tcPr>
          <w:p w14:paraId="0ADBBF4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2B45173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498D428"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565E765"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62450DBA" w14:textId="77777777"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0E2C811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5C615E7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E71F8E3"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EE5CCC9"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16AD9BF" w14:textId="32B30BEC" w:rsidR="00492E68" w:rsidRPr="00A62729" w:rsidRDefault="00492E68" w:rsidP="00EF33A4">
            <w:pPr>
              <w:rPr>
                <w:rFonts w:cs="Arial"/>
                <w:color w:val="000000"/>
                <w:sz w:val="18"/>
                <w:szCs w:val="18"/>
              </w:rPr>
            </w:pPr>
            <w:r w:rsidRPr="00A62729">
              <w:rPr>
                <w:rFonts w:cs="Arial"/>
                <w:color w:val="000000"/>
                <w:sz w:val="18"/>
                <w:szCs w:val="18"/>
              </w:rPr>
              <w:t>Lastgänge RLM</w:t>
            </w:r>
          </w:p>
        </w:tc>
        <w:tc>
          <w:tcPr>
            <w:tcW w:w="2906" w:type="dxa"/>
            <w:tcBorders>
              <w:top w:val="nil"/>
              <w:left w:val="nil"/>
              <w:bottom w:val="single" w:sz="4" w:space="0" w:color="auto"/>
              <w:right w:val="single" w:sz="4" w:space="0" w:color="auto"/>
            </w:tcBorders>
            <w:shd w:val="clear" w:color="auto" w:fill="auto"/>
            <w:noWrap/>
            <w:vAlign w:val="bottom"/>
            <w:hideMark/>
          </w:tcPr>
          <w:p w14:paraId="7B3035D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8FA2C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38646790"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C83D2BF" w14:textId="77777777" w:rsidTr="00EF33A4">
        <w:trPr>
          <w:trHeight w:val="102"/>
        </w:trPr>
        <w:tc>
          <w:tcPr>
            <w:tcW w:w="3369" w:type="dxa"/>
            <w:tcBorders>
              <w:top w:val="nil"/>
              <w:left w:val="nil"/>
              <w:bottom w:val="nil"/>
              <w:right w:val="nil"/>
            </w:tcBorders>
            <w:shd w:val="clear" w:color="auto" w:fill="auto"/>
            <w:noWrap/>
            <w:vAlign w:val="bottom"/>
            <w:hideMark/>
          </w:tcPr>
          <w:p w14:paraId="50EE342E"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5D54979C"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1491FC7"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3D54E28B" w14:textId="77777777" w:rsidR="00492E68" w:rsidRPr="00A62729" w:rsidRDefault="00492E68" w:rsidP="00EF33A4">
            <w:pPr>
              <w:jc w:val="center"/>
              <w:rPr>
                <w:rFonts w:cs="Arial"/>
                <w:color w:val="000000"/>
                <w:sz w:val="18"/>
                <w:szCs w:val="18"/>
              </w:rPr>
            </w:pPr>
          </w:p>
        </w:tc>
      </w:tr>
      <w:tr w:rsidR="00492E68" w:rsidRPr="00A62729" w14:paraId="6A99D546"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838EAF0" w14:textId="77777777"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14:paraId="367B4DAE"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2A97C156"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1AE0D118"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3DC238D2"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5F0AA57B"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7E39CBC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35FD890" w14:textId="77777777" w:rsidR="00492E68" w:rsidRPr="00A62729" w:rsidRDefault="002370F0" w:rsidP="002370F0">
            <w:pPr>
              <w:rPr>
                <w:rFonts w:cs="Arial"/>
                <w:b/>
                <w:bCs/>
                <w:color w:val="000000"/>
                <w:sz w:val="18"/>
                <w:szCs w:val="18"/>
              </w:rPr>
            </w:pPr>
            <w:r>
              <w:rPr>
                <w:rFonts w:cs="Arial"/>
                <w:b/>
                <w:bCs/>
                <w:color w:val="000000"/>
                <w:sz w:val="18"/>
                <w:szCs w:val="18"/>
              </w:rPr>
              <w:t xml:space="preserve">Regelenergieprodukt mit </w:t>
            </w:r>
            <w:r w:rsidR="008724CD">
              <w:rPr>
                <w:rFonts w:cs="Arial"/>
                <w:b/>
                <w:bCs/>
                <w:color w:val="000000"/>
                <w:sz w:val="18"/>
                <w:szCs w:val="18"/>
              </w:rPr>
              <w:t xml:space="preserve">Nutzung </w:t>
            </w:r>
            <w:r>
              <w:rPr>
                <w:rFonts w:cs="Arial"/>
                <w:b/>
                <w:bCs/>
                <w:color w:val="000000"/>
                <w:sz w:val="18"/>
                <w:szCs w:val="18"/>
              </w:rPr>
              <w:t>RLM</w:t>
            </w:r>
            <w:r w:rsidR="005C7AC2">
              <w:rPr>
                <w:rFonts w:cs="Arial"/>
                <w:b/>
                <w:bCs/>
                <w:color w:val="000000"/>
                <w:sz w:val="18"/>
                <w:szCs w:val="18"/>
              </w:rPr>
              <w:t>-</w:t>
            </w:r>
            <w:r>
              <w:rPr>
                <w:rFonts w:cs="Arial"/>
                <w:b/>
                <w:bCs/>
                <w:color w:val="000000"/>
                <w:sz w:val="18"/>
                <w:szCs w:val="18"/>
              </w:rPr>
              <w:t>Abschaltpotential</w:t>
            </w:r>
          </w:p>
        </w:tc>
        <w:tc>
          <w:tcPr>
            <w:tcW w:w="2906" w:type="dxa"/>
            <w:tcBorders>
              <w:top w:val="nil"/>
              <w:left w:val="nil"/>
              <w:bottom w:val="single" w:sz="4" w:space="0" w:color="auto"/>
              <w:right w:val="single" w:sz="4" w:space="0" w:color="auto"/>
            </w:tcBorders>
            <w:shd w:val="clear" w:color="auto" w:fill="auto"/>
            <w:noWrap/>
            <w:vAlign w:val="bottom"/>
            <w:hideMark/>
          </w:tcPr>
          <w:p w14:paraId="7F03E9A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542851C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9D57D6F"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DB36B8C"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A4AD9C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749143F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EA308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A5583F0"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360B01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731C022"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4AA4D63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0BB7545"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28E97C2"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E8CFD7F" w14:textId="77777777" w:rsidTr="00EF33A4">
        <w:trPr>
          <w:trHeight w:val="102"/>
        </w:trPr>
        <w:tc>
          <w:tcPr>
            <w:tcW w:w="3369" w:type="dxa"/>
            <w:tcBorders>
              <w:top w:val="nil"/>
              <w:left w:val="nil"/>
              <w:bottom w:val="nil"/>
              <w:right w:val="nil"/>
            </w:tcBorders>
            <w:shd w:val="clear" w:color="auto" w:fill="auto"/>
            <w:noWrap/>
            <w:vAlign w:val="bottom"/>
            <w:hideMark/>
          </w:tcPr>
          <w:p w14:paraId="3F502830"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1229E5F"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28224954"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4663D270" w14:textId="77777777" w:rsidR="00492E68" w:rsidRPr="00A62729" w:rsidRDefault="00492E68" w:rsidP="00EF33A4">
            <w:pPr>
              <w:jc w:val="center"/>
              <w:rPr>
                <w:rFonts w:cs="Arial"/>
                <w:color w:val="000000"/>
                <w:sz w:val="18"/>
                <w:szCs w:val="18"/>
              </w:rPr>
            </w:pPr>
          </w:p>
        </w:tc>
      </w:tr>
      <w:tr w:rsidR="00492E68" w:rsidRPr="00A62729" w14:paraId="6A1E2E51"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1E5DB64" w14:textId="77777777"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14:paraId="237CF15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2E3D2F7" w14:textId="77777777" w:rsidR="00492E68" w:rsidRPr="00A62729" w:rsidRDefault="00A75F20" w:rsidP="00EF33A4">
            <w:pPr>
              <w:rPr>
                <w:rFonts w:cs="Arial"/>
                <w:color w:val="000000"/>
                <w:sz w:val="18"/>
                <w:szCs w:val="18"/>
              </w:rPr>
            </w:pPr>
            <w:r>
              <w:rPr>
                <w:rFonts w:cs="Arial"/>
                <w:color w:val="000000"/>
                <w:sz w:val="18"/>
                <w:szCs w:val="18"/>
              </w:rPr>
              <w:t>Name des Kontoinhabers</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2109AD"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A75F20" w:rsidRPr="00A62729" w14:paraId="11E1AEAB"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tcPr>
          <w:p w14:paraId="0B425E23" w14:textId="77777777" w:rsidR="00A75F20" w:rsidRPr="00A62729" w:rsidRDefault="00A75F20"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tcPr>
          <w:p w14:paraId="0C22108D" w14:textId="77777777" w:rsidR="00A75F20" w:rsidRPr="00A62729" w:rsidRDefault="00A75F20" w:rsidP="00EF33A4">
            <w:pPr>
              <w:jc w:val="center"/>
              <w:rPr>
                <w:rFonts w:cs="Arial"/>
                <w:color w:val="000000"/>
                <w:sz w:val="18"/>
                <w:szCs w:val="18"/>
              </w:rPr>
            </w:pPr>
          </w:p>
        </w:tc>
      </w:tr>
      <w:tr w:rsidR="00492E68" w:rsidRPr="00A62729" w14:paraId="526FF61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9F68780" w14:textId="77777777"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B907E1"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6774624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C3FADEA" w14:textId="77777777"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FFA547"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7938434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6EAC3DC" w14:textId="77777777"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2768C41D"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10EDF5F7" w14:textId="77777777" w:rsidTr="00EF33A4">
        <w:trPr>
          <w:trHeight w:val="102"/>
        </w:trPr>
        <w:tc>
          <w:tcPr>
            <w:tcW w:w="3369" w:type="dxa"/>
            <w:tcBorders>
              <w:top w:val="nil"/>
              <w:left w:val="nil"/>
              <w:bottom w:val="nil"/>
              <w:right w:val="nil"/>
            </w:tcBorders>
            <w:shd w:val="clear" w:color="auto" w:fill="auto"/>
            <w:noWrap/>
            <w:vAlign w:val="bottom"/>
            <w:hideMark/>
          </w:tcPr>
          <w:p w14:paraId="7E7AFF11"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4F983991"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DE55C66"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3167E0A" w14:textId="77777777" w:rsidR="00492E68" w:rsidRPr="00A62729" w:rsidRDefault="00492E68" w:rsidP="00EF33A4">
            <w:pPr>
              <w:jc w:val="center"/>
              <w:rPr>
                <w:rFonts w:cs="Arial"/>
                <w:color w:val="000000"/>
                <w:sz w:val="18"/>
                <w:szCs w:val="18"/>
              </w:rPr>
            </w:pPr>
          </w:p>
        </w:tc>
      </w:tr>
      <w:tr w:rsidR="00492E68" w:rsidRPr="00A62729" w14:paraId="21ED8775"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401BE48" w14:textId="77777777"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14:paraId="2A7DDBC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07248EE" w14:textId="77777777" w:rsidR="00492E68" w:rsidRPr="00F167E6" w:rsidRDefault="00492E68" w:rsidP="00792439">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2B64997F" w14:textId="77777777" w:rsidR="00492E68" w:rsidRPr="00F167E6" w:rsidRDefault="00492E68" w:rsidP="00EF33A4">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14:paraId="4D61581B" w14:textId="77777777" w:rsidR="00492E68" w:rsidRPr="00F167E6" w:rsidRDefault="00492E68" w:rsidP="00EF33A4">
            <w:pPr>
              <w:rPr>
                <w:rFonts w:cs="Arial"/>
                <w:color w:val="000000"/>
                <w:sz w:val="18"/>
                <w:szCs w:val="18"/>
              </w:rPr>
            </w:pPr>
          </w:p>
        </w:tc>
      </w:tr>
      <w:tr w:rsidR="00492E68" w:rsidRPr="00A62729" w14:paraId="674F0512"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9651E36" w14:textId="77777777"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14:paraId="7744CAF1" w14:textId="77777777" w:rsidR="00492E68" w:rsidRPr="00F167E6" w:rsidRDefault="00492E68" w:rsidP="00EF33A4">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14:paraId="252A6AC6" w14:textId="77777777" w:rsidR="00492E68" w:rsidRPr="00F167E6" w:rsidRDefault="00492E68" w:rsidP="00EF33A4">
            <w:pPr>
              <w:rPr>
                <w:rFonts w:cs="Arial"/>
                <w:color w:val="000000"/>
                <w:sz w:val="18"/>
                <w:szCs w:val="18"/>
              </w:rPr>
            </w:pPr>
          </w:p>
        </w:tc>
      </w:tr>
    </w:tbl>
    <w:p w14:paraId="5D8266E4" w14:textId="77777777" w:rsidR="00492E68" w:rsidRDefault="00492E68" w:rsidP="00492E68">
      <w:pPr>
        <w:tabs>
          <w:tab w:val="left" w:pos="720"/>
        </w:tabs>
        <w:spacing w:before="120" w:line="240" w:lineRule="atLeast"/>
        <w:jc w:val="both"/>
        <w:rPr>
          <w:rFonts w:cs="Arial"/>
          <w:sz w:val="22"/>
          <w:szCs w:val="22"/>
        </w:rPr>
      </w:pPr>
    </w:p>
    <w:p w14:paraId="6EB2337C" w14:textId="77777777"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A62729" w14:paraId="29BF69C1" w14:textId="77777777"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14:paraId="456E0326" w14:textId="77777777"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r w:rsidR="00F167E6">
              <w:rPr>
                <w:rFonts w:cs="Arial"/>
                <w:b/>
                <w:bCs/>
                <w:color w:val="000000"/>
                <w:sz w:val="24"/>
                <w:szCs w:val="24"/>
              </w:rPr>
              <w:t>Transportkunde</w:t>
            </w:r>
          </w:p>
        </w:tc>
        <w:tc>
          <w:tcPr>
            <w:tcW w:w="2075" w:type="dxa"/>
            <w:tcBorders>
              <w:top w:val="nil"/>
              <w:left w:val="nil"/>
              <w:bottom w:val="nil"/>
              <w:right w:val="nil"/>
            </w:tcBorders>
            <w:shd w:val="clear" w:color="auto" w:fill="auto"/>
            <w:noWrap/>
            <w:vAlign w:val="bottom"/>
            <w:hideMark/>
          </w:tcPr>
          <w:p w14:paraId="287BA03F" w14:textId="77777777" w:rsidR="00D52E5D" w:rsidRPr="00A62729" w:rsidRDefault="00D52E5D" w:rsidP="00EF33A4">
            <w:pPr>
              <w:jc w:val="right"/>
              <w:rPr>
                <w:rFonts w:cs="Arial"/>
                <w:color w:val="000000"/>
                <w:sz w:val="18"/>
                <w:szCs w:val="18"/>
              </w:rPr>
            </w:pPr>
            <w:r w:rsidRPr="00A62729">
              <w:rPr>
                <w:rFonts w:cs="Arial"/>
                <w:color w:val="000000"/>
                <w:sz w:val="18"/>
                <w:szCs w:val="18"/>
              </w:rPr>
              <w:t xml:space="preserve">Stand: </w:t>
            </w:r>
          </w:p>
        </w:tc>
      </w:tr>
      <w:tr w:rsidR="00D52E5D" w:rsidRPr="00A62729" w14:paraId="181D4A56" w14:textId="77777777"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F48D4ED" w14:textId="77777777"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14:paraId="2D2CF56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98E99" w14:textId="77777777"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A056C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56C28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CFD267"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C78CA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0790D1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487F50"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491A0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15D2E9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F8C157"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81DFC1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9CFBE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D112B9"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5C8221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514611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6EDF9" w14:textId="77777777"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14:paraId="47A42A6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14:paraId="7FFC373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14:paraId="09DF42D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C006DA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C81AD" w14:textId="77777777"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677BA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E64823A"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77C2073" w14:textId="77777777"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2FF5A1D6" w14:textId="77777777"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7D4E6235" w14:textId="77777777"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431A98CB" w14:textId="77777777" w:rsidR="00D52E5D" w:rsidRPr="00A62729" w:rsidRDefault="00D52E5D" w:rsidP="00EF33A4">
            <w:pPr>
              <w:jc w:val="center"/>
              <w:rPr>
                <w:rFonts w:cs="Arial"/>
                <w:color w:val="000000"/>
                <w:sz w:val="18"/>
                <w:szCs w:val="18"/>
              </w:rPr>
            </w:pPr>
          </w:p>
        </w:tc>
      </w:tr>
      <w:tr w:rsidR="00D52E5D" w:rsidRPr="00A62729" w14:paraId="575E4C1A" w14:textId="77777777"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E4ED26" w14:textId="77777777"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14:paraId="096A8ADF" w14:textId="77777777" w:rsidR="00D52E5D" w:rsidRPr="00A62729" w:rsidRDefault="00F167E6" w:rsidP="00F167E6">
            <w:pPr>
              <w:rPr>
                <w:rFonts w:cs="Arial"/>
                <w:b/>
                <w:bCs/>
                <w:color w:val="000000"/>
                <w:sz w:val="18"/>
                <w:szCs w:val="18"/>
              </w:rPr>
            </w:pPr>
            <w:r>
              <w:rPr>
                <w:rFonts w:cs="Arial"/>
                <w:b/>
                <w:bCs/>
                <w:color w:val="000000"/>
                <w:sz w:val="18"/>
                <w:szCs w:val="18"/>
              </w:rPr>
              <w:t>DVGW</w:t>
            </w:r>
            <w:r w:rsidR="00D52E5D" w:rsidRPr="00A62729">
              <w:rPr>
                <w:rFonts w:cs="Arial"/>
                <w:b/>
                <w:bCs/>
                <w:color w:val="000000"/>
                <w:sz w:val="18"/>
                <w:szCs w:val="18"/>
              </w:rPr>
              <w:t xml:space="preserve">-Codenummern / Global Location Number (GLN) </w:t>
            </w:r>
            <w:r>
              <w:rPr>
                <w:rFonts w:cs="Arial"/>
                <w:b/>
                <w:bCs/>
                <w:color w:val="000000"/>
                <w:sz w:val="18"/>
                <w:szCs w:val="18"/>
              </w:rPr>
              <w:t>Gas</w:t>
            </w:r>
          </w:p>
        </w:tc>
      </w:tr>
      <w:tr w:rsidR="00D52E5D" w:rsidRPr="00A62729" w14:paraId="6AEE3C64" w14:textId="77777777" w:rsidTr="006F5F70">
        <w:trPr>
          <w:trHeight w:val="255"/>
        </w:trPr>
        <w:tc>
          <w:tcPr>
            <w:tcW w:w="3969" w:type="dxa"/>
            <w:gridSpan w:val="2"/>
            <w:tcBorders>
              <w:top w:val="nil"/>
              <w:left w:val="nil"/>
              <w:bottom w:val="nil"/>
              <w:right w:val="nil"/>
            </w:tcBorders>
            <w:shd w:val="clear" w:color="auto" w:fill="auto"/>
            <w:noWrap/>
            <w:vAlign w:val="bottom"/>
            <w:hideMark/>
          </w:tcPr>
          <w:p w14:paraId="579A5909" w14:textId="77777777" w:rsidR="00D52E5D" w:rsidRPr="00A62729" w:rsidRDefault="00D52E5D" w:rsidP="00EF33A4">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700"/>
            </w:tblGrid>
            <w:tr w:rsidR="00D52E5D" w:rsidRPr="00A62729" w14:paraId="2FA1B579" w14:textId="77777777" w:rsidTr="006F5F70">
              <w:trPr>
                <w:trHeight w:val="255"/>
                <w:tblCellSpacing w:w="0" w:type="dxa"/>
              </w:trPr>
              <w:tc>
                <w:tcPr>
                  <w:tcW w:w="2700" w:type="dxa"/>
                  <w:shd w:val="clear" w:color="auto" w:fill="auto"/>
                  <w:noWrap/>
                  <w:vAlign w:val="bottom"/>
                  <w:hideMark/>
                </w:tcPr>
                <w:p w14:paraId="57569512" w14:textId="77777777"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14:paraId="69BBA5F1" w14:textId="77777777"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tcBorders>
            <w:shd w:val="clear" w:color="auto" w:fill="auto"/>
            <w:noWrap/>
            <w:vAlign w:val="bottom"/>
            <w:hideMark/>
          </w:tcPr>
          <w:p w14:paraId="5ED9F73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56EEDC7"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08FBDBD" w14:textId="77777777"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14:paraId="7917B2F2" w14:textId="77777777"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A4B74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9AE339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D38E8E0" w14:textId="77777777"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2B4A8FB3" w14:textId="77777777"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667793F3" w14:textId="77777777"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1473CDE3" w14:textId="77777777" w:rsidR="00D52E5D" w:rsidRPr="00A62729" w:rsidRDefault="00D52E5D" w:rsidP="00EF33A4">
            <w:pPr>
              <w:jc w:val="center"/>
              <w:rPr>
                <w:rFonts w:cs="Arial"/>
                <w:color w:val="000000"/>
                <w:sz w:val="18"/>
                <w:szCs w:val="18"/>
              </w:rPr>
            </w:pPr>
          </w:p>
        </w:tc>
      </w:tr>
      <w:tr w:rsidR="00D52E5D" w:rsidRPr="00A62729" w14:paraId="062A61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AFCFAB2" w14:textId="77777777"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14:paraId="0A5965D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E26F68"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3D8AC5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55F4EE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A4E530" w14:textId="77777777" w:rsidR="00D52E5D" w:rsidRPr="00A62729" w:rsidRDefault="00D52E5D" w:rsidP="00EF33A4">
            <w:pPr>
              <w:rPr>
                <w:rFonts w:cs="Arial"/>
                <w:color w:val="000000"/>
                <w:sz w:val="18"/>
                <w:szCs w:val="18"/>
              </w:rPr>
            </w:pPr>
            <w:r w:rsidRPr="00A62729">
              <w:rPr>
                <w:rFonts w:cs="Arial"/>
                <w:color w:val="000000"/>
                <w:sz w:val="18"/>
                <w:szCs w:val="18"/>
              </w:rPr>
              <w:t>Straße HsNr.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F9347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017974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6346FE"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A74BE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E1DC83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13B877"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988B1E"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F60405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973A1A"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9CD9E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77049B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0559E"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31615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14:paraId="5B9697DD" w14:textId="77777777"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14:paraId="69C95FD3" w14:textId="77777777" w:rsidR="000F5E31" w:rsidRPr="00A62729" w:rsidRDefault="000F5E31" w:rsidP="000F5E31">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14:paraId="6D6E1A22" w14:textId="77777777" w:rsidR="000F5E31" w:rsidRPr="00A62729" w:rsidRDefault="000F5E31" w:rsidP="000F5E31">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14:paraId="33ED8D8D" w14:textId="77777777" w:rsidR="000F5E31" w:rsidRPr="00A62729" w:rsidRDefault="000F5E31" w:rsidP="000F5E31">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14:paraId="3B5C3629" w14:textId="77777777" w:rsidR="000F5E31" w:rsidRPr="00A62729" w:rsidRDefault="000F5E31" w:rsidP="000F5E31">
            <w:pPr>
              <w:jc w:val="center"/>
              <w:rPr>
                <w:rFonts w:cs="Arial"/>
                <w:color w:val="FF0000"/>
                <w:sz w:val="18"/>
                <w:szCs w:val="18"/>
              </w:rPr>
            </w:pPr>
          </w:p>
        </w:tc>
      </w:tr>
      <w:tr w:rsidR="00925E31" w:rsidRPr="00D719E8" w14:paraId="24B62249" w14:textId="77777777"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14:paraId="3B4CD260" w14:textId="77777777" w:rsidR="00925E31" w:rsidRPr="00D719E8" w:rsidRDefault="00925E31" w:rsidP="00545A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8598" w14:textId="77777777" w:rsidR="00925E31" w:rsidRPr="00D719E8" w:rsidRDefault="00925E31" w:rsidP="00545AFD">
            <w:pPr>
              <w:rPr>
                <w:rFonts w:cs="Arial"/>
                <w:b/>
                <w:bCs/>
                <w:sz w:val="18"/>
                <w:szCs w:val="18"/>
              </w:rPr>
            </w:pPr>
            <w:proofErr w:type="gramStart"/>
            <w:r w:rsidRPr="00D719E8">
              <w:rPr>
                <w:rFonts w:cs="Arial"/>
                <w:b/>
                <w:bCs/>
                <w:sz w:val="18"/>
                <w:szCs w:val="18"/>
              </w:rPr>
              <w:t>Email</w:t>
            </w:r>
            <w:proofErr w:type="gramEnd"/>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7324CE17" w14:textId="77777777" w:rsidR="00925E31" w:rsidRPr="00D719E8" w:rsidRDefault="00925E31" w:rsidP="00545A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033932" w14:textId="77777777" w:rsidR="00925E31" w:rsidRPr="00D719E8" w:rsidRDefault="00925E31" w:rsidP="00545AFD">
            <w:pPr>
              <w:rPr>
                <w:rFonts w:cs="Arial"/>
                <w:b/>
                <w:bCs/>
                <w:sz w:val="18"/>
                <w:szCs w:val="18"/>
              </w:rPr>
            </w:pPr>
            <w:r w:rsidRPr="00D719E8">
              <w:rPr>
                <w:rFonts w:cs="Arial"/>
                <w:b/>
                <w:bCs/>
                <w:sz w:val="18"/>
                <w:szCs w:val="18"/>
              </w:rPr>
              <w:t>Fax </w:t>
            </w:r>
          </w:p>
        </w:tc>
      </w:tr>
      <w:tr w:rsidR="00925E31" w:rsidRPr="00A62729" w14:paraId="62D95E40" w14:textId="77777777"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14:paraId="7A4E0C4E" w14:textId="558C4232" w:rsidR="00925E31" w:rsidRPr="00A62729" w:rsidRDefault="00925E31" w:rsidP="00545AFD">
            <w:pPr>
              <w:rPr>
                <w:rFonts w:cs="Arial"/>
                <w:color w:val="000000"/>
                <w:sz w:val="18"/>
                <w:szCs w:val="18"/>
              </w:rPr>
            </w:pPr>
            <w:r w:rsidRPr="00A62729">
              <w:rPr>
                <w:rFonts w:cs="Arial"/>
                <w:color w:val="000000"/>
                <w:sz w:val="18"/>
                <w:szCs w:val="18"/>
              </w:rPr>
              <w:t>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F3AF89C"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14:paraId="34603E48"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14:paraId="6B42202D"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14:paraId="77E5E0C7" w14:textId="77777777" w:rsidTr="00925E31">
        <w:trPr>
          <w:trHeight w:val="240"/>
        </w:trPr>
        <w:tc>
          <w:tcPr>
            <w:tcW w:w="3369" w:type="dxa"/>
            <w:tcBorders>
              <w:top w:val="nil"/>
              <w:left w:val="single" w:sz="4" w:space="0" w:color="auto"/>
              <w:bottom w:val="nil"/>
              <w:right w:val="nil"/>
            </w:tcBorders>
            <w:shd w:val="clear" w:color="auto" w:fill="auto"/>
            <w:noWrap/>
            <w:vAlign w:val="bottom"/>
            <w:hideMark/>
          </w:tcPr>
          <w:p w14:paraId="4801997D" w14:textId="6DA83308" w:rsidR="00925E31" w:rsidRPr="00A62729" w:rsidRDefault="00925E31" w:rsidP="00545AFD">
            <w:pPr>
              <w:rPr>
                <w:rFonts w:cs="Arial"/>
                <w:color w:val="000000"/>
                <w:sz w:val="18"/>
                <w:szCs w:val="18"/>
              </w:rPr>
            </w:pPr>
            <w:r w:rsidRPr="00A62729">
              <w:rPr>
                <w:rFonts w:cs="Arial"/>
                <w:color w:val="000000"/>
                <w:sz w:val="18"/>
                <w:szCs w:val="18"/>
              </w:rPr>
              <w:t>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14:paraId="006A1AE5"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1966570"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14:paraId="01BE2D8B"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14:paraId="3FC35B47" w14:textId="77777777"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48ED3B75" w14:textId="5BCB00C1" w:rsidR="00925E31" w:rsidRPr="00A62729" w:rsidRDefault="00925E31" w:rsidP="00545AFD">
            <w:pPr>
              <w:rPr>
                <w:rFonts w:cs="Arial"/>
                <w:color w:val="000000"/>
                <w:sz w:val="18"/>
                <w:szCs w:val="18"/>
              </w:rPr>
            </w:pPr>
            <w:r w:rsidRPr="00A62729">
              <w:rPr>
                <w:rFonts w:cs="Arial"/>
                <w:color w:val="000000"/>
                <w:sz w:val="18"/>
                <w:szCs w:val="18"/>
              </w:rPr>
              <w:t>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0EE07A"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65C69484"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14:paraId="0E3C70E3"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D52E5D" w:rsidRPr="00A62729" w14:paraId="70E3FFED"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44919014"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1F512E94"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0874990B"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7C1FF417" w14:textId="77777777" w:rsidR="00D52E5D" w:rsidRPr="00A62729" w:rsidRDefault="00D52E5D" w:rsidP="00EF33A4">
            <w:pPr>
              <w:jc w:val="center"/>
              <w:rPr>
                <w:rFonts w:cs="Arial"/>
                <w:color w:val="FF0000"/>
                <w:sz w:val="18"/>
                <w:szCs w:val="18"/>
              </w:rPr>
            </w:pPr>
          </w:p>
        </w:tc>
      </w:tr>
      <w:tr w:rsidR="00D52E5D" w:rsidRPr="00A62729" w14:paraId="6634CB1D"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5DE24C0" w14:textId="77777777" w:rsidR="00D52E5D" w:rsidRPr="00A62729" w:rsidRDefault="00D52E5D" w:rsidP="00EF33A4">
            <w:pPr>
              <w:rPr>
                <w:rFonts w:cs="Arial"/>
                <w:b/>
                <w:bCs/>
                <w:sz w:val="18"/>
                <w:szCs w:val="18"/>
              </w:rPr>
            </w:pPr>
            <w:r w:rsidRPr="00A62729">
              <w:rPr>
                <w:rFonts w:cs="Arial"/>
                <w:b/>
                <w:bCs/>
                <w:sz w:val="18"/>
                <w:szCs w:val="18"/>
              </w:rPr>
              <w:t>Bilanzkreismanagement</w:t>
            </w:r>
          </w:p>
        </w:tc>
      </w:tr>
      <w:tr w:rsidR="00877FAA" w:rsidRPr="00A62729" w14:paraId="14D87F1D"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126110FF" w14:textId="77777777" w:rsidR="00877FAA" w:rsidRPr="00A62729" w:rsidRDefault="00F167E6" w:rsidP="00EF33A4">
            <w:pPr>
              <w:rPr>
                <w:rFonts w:cs="Arial"/>
                <w:color w:val="000000"/>
                <w:sz w:val="18"/>
                <w:szCs w:val="18"/>
              </w:rPr>
            </w:pPr>
            <w:r w:rsidRPr="006F5B76">
              <w:rPr>
                <w:rFonts w:cs="Arial"/>
                <w:color w:val="000000"/>
                <w:sz w:val="18"/>
                <w:szCs w:val="18"/>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30D5CAF9" w14:textId="77777777" w:rsidR="00877FAA" w:rsidRPr="00A62729" w:rsidRDefault="00877FAA" w:rsidP="00EF33A4">
            <w:pPr>
              <w:jc w:val="center"/>
              <w:rPr>
                <w:rFonts w:cs="Arial"/>
                <w:color w:val="000000"/>
                <w:sz w:val="18"/>
                <w:szCs w:val="18"/>
              </w:rPr>
            </w:pPr>
          </w:p>
        </w:tc>
      </w:tr>
      <w:tr w:rsidR="00D52E5D" w:rsidRPr="00A62729" w14:paraId="5A30356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91280B" w14:textId="77777777"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BA03C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C2E607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D5BCE"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37A7D5"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44F621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38412D"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2923C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A2B90EE" w14:textId="77777777" w:rsidTr="001843B7">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3C914"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F5D65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4F4015F" w14:textId="77777777" w:rsidTr="001843B7">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DA71"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C0150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7C77A9E"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539BC"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E498D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B7ADC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B7E06F"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29BE6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06FAB07"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23613542"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6344F7EC"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67E7F57E"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8C1DE08" w14:textId="77777777" w:rsidR="00D52E5D" w:rsidRPr="00A62729" w:rsidRDefault="00D52E5D" w:rsidP="00EF33A4">
            <w:pPr>
              <w:jc w:val="center"/>
              <w:rPr>
                <w:rFonts w:cs="Arial"/>
                <w:color w:val="FF0000"/>
                <w:sz w:val="18"/>
                <w:szCs w:val="18"/>
              </w:rPr>
            </w:pPr>
          </w:p>
        </w:tc>
      </w:tr>
      <w:tr w:rsidR="00D52E5D" w:rsidRPr="00A62729" w14:paraId="2DAB4D1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7010861" w14:textId="77777777"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14:paraId="37B5C87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B9AC73"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196EA0"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B21E1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D85CFD"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7434F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4606E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CFBEF9"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DE188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A7DA0C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737535"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643CD0"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5A8770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DA206"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8D8EB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328070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EAB650"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60D715"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306E554"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1A3C0C4"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5226CB69"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35565B6E"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CFE4E19" w14:textId="77777777" w:rsidR="00D52E5D" w:rsidRPr="00A62729" w:rsidRDefault="00D52E5D" w:rsidP="00EF33A4">
            <w:pPr>
              <w:jc w:val="center"/>
              <w:rPr>
                <w:rFonts w:cs="Arial"/>
                <w:color w:val="FF0000"/>
                <w:sz w:val="18"/>
                <w:szCs w:val="18"/>
              </w:rPr>
            </w:pPr>
          </w:p>
        </w:tc>
      </w:tr>
      <w:tr w:rsidR="00766779" w:rsidRPr="00A62729" w14:paraId="5F896E2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14:paraId="4A98B5F6" w14:textId="77777777" w:rsidR="00766779" w:rsidRPr="00A62729" w:rsidRDefault="00766779" w:rsidP="005C0DE1">
            <w:pPr>
              <w:rPr>
                <w:rFonts w:cs="Arial"/>
                <w:b/>
                <w:bCs/>
                <w:sz w:val="18"/>
                <w:szCs w:val="18"/>
              </w:rPr>
            </w:pPr>
            <w:r>
              <w:rPr>
                <w:rFonts w:cs="Arial"/>
                <w:b/>
                <w:bCs/>
                <w:sz w:val="18"/>
                <w:szCs w:val="18"/>
              </w:rPr>
              <w:t>Unterbrechung der Netznutzung</w:t>
            </w:r>
            <w:r w:rsidR="007E4708">
              <w:rPr>
                <w:rFonts w:cs="Arial"/>
                <w:b/>
                <w:bCs/>
                <w:sz w:val="18"/>
                <w:szCs w:val="18"/>
              </w:rPr>
              <w:t xml:space="preserve"> </w:t>
            </w:r>
          </w:p>
        </w:tc>
      </w:tr>
      <w:tr w:rsidR="00766779" w:rsidRPr="001A3DA3" w14:paraId="6F830176"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6542C42" w14:textId="77777777" w:rsidR="00766779" w:rsidRPr="001A3DA3" w:rsidRDefault="00766779" w:rsidP="0086000E">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632A223" w14:textId="77777777" w:rsidR="00766779" w:rsidRPr="001A3DA3" w:rsidRDefault="00766779" w:rsidP="0086000E">
            <w:pPr>
              <w:rPr>
                <w:rFonts w:cs="Arial"/>
                <w:bCs/>
                <w:sz w:val="18"/>
                <w:szCs w:val="18"/>
              </w:rPr>
            </w:pPr>
          </w:p>
        </w:tc>
      </w:tr>
      <w:tr w:rsidR="00766779" w:rsidRPr="001A3DA3" w14:paraId="749A2098"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FDC0986" w14:textId="77777777" w:rsidR="00766779" w:rsidRPr="001A3DA3" w:rsidRDefault="00766779" w:rsidP="0086000E">
            <w:pPr>
              <w:rPr>
                <w:rFonts w:cs="Arial"/>
                <w:bCs/>
                <w:sz w:val="18"/>
                <w:szCs w:val="18"/>
              </w:rPr>
            </w:pPr>
            <w:r>
              <w:rPr>
                <w:rFonts w:cs="Arial"/>
                <w:bCs/>
                <w:sz w:val="18"/>
                <w:szCs w:val="18"/>
              </w:rPr>
              <w:t xml:space="preserve">Straße </w:t>
            </w:r>
            <w:proofErr w:type="gramStart"/>
            <w:r>
              <w:rPr>
                <w:rFonts w:cs="Arial"/>
                <w:bCs/>
                <w:sz w:val="18"/>
                <w:szCs w:val="18"/>
              </w:rPr>
              <w:t>Hausnr,.</w:t>
            </w:r>
            <w:proofErr w:type="gramEnd"/>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76624B0" w14:textId="77777777" w:rsidR="00766779" w:rsidRPr="001A3DA3" w:rsidRDefault="00766779" w:rsidP="0086000E">
            <w:pPr>
              <w:rPr>
                <w:rFonts w:cs="Arial"/>
                <w:bCs/>
                <w:sz w:val="18"/>
                <w:szCs w:val="18"/>
              </w:rPr>
            </w:pPr>
          </w:p>
        </w:tc>
      </w:tr>
      <w:tr w:rsidR="00766779" w:rsidRPr="001A3DA3" w14:paraId="543B2E1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7E14AF2" w14:textId="77777777" w:rsidR="00766779" w:rsidRPr="001A3DA3" w:rsidRDefault="00766779" w:rsidP="0086000E">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9051D1F" w14:textId="77777777" w:rsidR="00766779" w:rsidRPr="001A3DA3" w:rsidRDefault="00766779" w:rsidP="0086000E">
            <w:pPr>
              <w:rPr>
                <w:rFonts w:cs="Arial"/>
                <w:bCs/>
                <w:sz w:val="18"/>
                <w:szCs w:val="18"/>
              </w:rPr>
            </w:pPr>
          </w:p>
        </w:tc>
      </w:tr>
      <w:tr w:rsidR="00766779" w:rsidRPr="001A3DA3" w14:paraId="63C65ED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D63FDB2" w14:textId="77777777" w:rsidR="00766779" w:rsidRPr="001A3DA3" w:rsidRDefault="00766779" w:rsidP="0086000E">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008919A" w14:textId="77777777" w:rsidR="00766779" w:rsidRPr="001A3DA3" w:rsidRDefault="00766779" w:rsidP="0086000E">
            <w:pPr>
              <w:rPr>
                <w:rFonts w:cs="Arial"/>
                <w:bCs/>
                <w:sz w:val="18"/>
                <w:szCs w:val="18"/>
              </w:rPr>
            </w:pPr>
          </w:p>
        </w:tc>
      </w:tr>
      <w:tr w:rsidR="00766779" w:rsidRPr="001A3DA3" w14:paraId="2536CFC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C314A27" w14:textId="77777777" w:rsidR="00766779" w:rsidRPr="001A3DA3" w:rsidRDefault="00766779" w:rsidP="0086000E">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19F69ECD" w14:textId="77777777" w:rsidR="00766779" w:rsidRPr="001A3DA3" w:rsidRDefault="00766779" w:rsidP="0086000E">
            <w:pPr>
              <w:rPr>
                <w:rFonts w:cs="Arial"/>
                <w:bCs/>
                <w:sz w:val="18"/>
                <w:szCs w:val="18"/>
              </w:rPr>
            </w:pPr>
          </w:p>
        </w:tc>
      </w:tr>
      <w:tr w:rsidR="00766779" w:rsidRPr="001A3DA3" w14:paraId="73E9177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2CDCCB3" w14:textId="77777777" w:rsidR="00766779" w:rsidRPr="001A3DA3" w:rsidRDefault="00766779" w:rsidP="0086000E">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6C32CCD6" w14:textId="77777777" w:rsidR="00766779" w:rsidRPr="001A3DA3" w:rsidRDefault="00766779" w:rsidP="0086000E">
            <w:pPr>
              <w:rPr>
                <w:rFonts w:cs="Arial"/>
                <w:bCs/>
                <w:sz w:val="18"/>
                <w:szCs w:val="18"/>
              </w:rPr>
            </w:pPr>
          </w:p>
        </w:tc>
      </w:tr>
      <w:tr w:rsidR="001A3DA3" w:rsidRPr="001A3DA3" w14:paraId="45E212A1" w14:textId="77777777" w:rsidTr="00925E31">
        <w:trPr>
          <w:trHeight w:val="240"/>
        </w:trPr>
        <w:tc>
          <w:tcPr>
            <w:tcW w:w="9639" w:type="dxa"/>
            <w:gridSpan w:val="7"/>
            <w:tcBorders>
              <w:top w:val="single" w:sz="4" w:space="0" w:color="auto"/>
              <w:bottom w:val="single" w:sz="4" w:space="0" w:color="auto"/>
            </w:tcBorders>
            <w:shd w:val="clear" w:color="auto" w:fill="auto"/>
            <w:noWrap/>
            <w:vAlign w:val="bottom"/>
          </w:tcPr>
          <w:p w14:paraId="50361575" w14:textId="77777777" w:rsidR="001A3DA3" w:rsidRPr="001A3DA3" w:rsidRDefault="001A3DA3" w:rsidP="00EF33A4">
            <w:pPr>
              <w:rPr>
                <w:rFonts w:cs="Arial"/>
                <w:color w:val="FF0000"/>
                <w:sz w:val="18"/>
                <w:szCs w:val="18"/>
              </w:rPr>
            </w:pPr>
          </w:p>
        </w:tc>
      </w:tr>
      <w:tr w:rsidR="00D52E5D" w:rsidRPr="00A62729" w14:paraId="278586A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CF17E43" w14:textId="77777777"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14:paraId="595AFE63"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8BF5AF"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5D10D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FA03D8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DFB5A"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0067E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2EF23C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6527A1"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AE1F2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480980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3CF4CB"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87E59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6FF2F7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54C584"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2A40A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15316B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CDD308" w14:textId="77777777"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25C71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BB16DC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B9A68A1"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2DACCAA5"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58E6F3D5"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2F250EB1" w14:textId="77777777" w:rsidR="00D52E5D" w:rsidRPr="00A62729" w:rsidRDefault="00D52E5D" w:rsidP="00EF33A4">
            <w:pPr>
              <w:jc w:val="center"/>
              <w:rPr>
                <w:rFonts w:cs="Arial"/>
                <w:color w:val="FF0000"/>
                <w:sz w:val="18"/>
                <w:szCs w:val="18"/>
              </w:rPr>
            </w:pPr>
          </w:p>
        </w:tc>
      </w:tr>
      <w:tr w:rsidR="00D52E5D" w:rsidRPr="00A62729" w14:paraId="52708F62"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0CC233D" w14:textId="77777777"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14:paraId="37237ED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399398"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E004C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A33E7B4"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4C076"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21852F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4111731"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4CEF03"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7A11F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0C4A78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B36513"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39858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24AB0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5B6F90"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D39D6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CFFB19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FEDD5" w14:textId="77777777"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63F6C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AD24E3F"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84D0AFB" w14:textId="77777777"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7EAB1533"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04593373"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6D17883C" w14:textId="77777777" w:rsidR="00D52E5D" w:rsidRPr="00A62729" w:rsidRDefault="00D52E5D" w:rsidP="00EF33A4">
            <w:pPr>
              <w:jc w:val="center"/>
              <w:rPr>
                <w:rFonts w:cs="Arial"/>
                <w:color w:val="FF0000"/>
                <w:sz w:val="18"/>
                <w:szCs w:val="18"/>
              </w:rPr>
            </w:pPr>
          </w:p>
        </w:tc>
      </w:tr>
      <w:tr w:rsidR="00D52E5D" w:rsidRPr="00A62729" w14:paraId="672943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10A8D2" w14:textId="77777777"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14:paraId="0FAD386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6BD1B" w14:textId="77777777" w:rsidR="00D52E5D" w:rsidRPr="00C05044" w:rsidRDefault="00BA1A1A" w:rsidP="00EF33A4">
            <w:pPr>
              <w:rPr>
                <w:rFonts w:cs="Arial"/>
                <w:color w:val="000000"/>
                <w:sz w:val="18"/>
                <w:szCs w:val="18"/>
                <w:u w:val="single"/>
              </w:rPr>
            </w:pPr>
            <w:r w:rsidRPr="00C05044">
              <w:rPr>
                <w:rFonts w:cs="Arial"/>
                <w:color w:val="000000"/>
                <w:sz w:val="18"/>
                <w:szCs w:val="18"/>
                <w:u w:val="single"/>
              </w:rPr>
              <w:t>Name des Kontoinhabers</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91852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14:paraId="5383B65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03599319" w14:textId="77777777" w:rsidR="00BA1A1A" w:rsidRPr="00A62729" w:rsidRDefault="00BA1A1A"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1E6CEB18" w14:textId="77777777" w:rsidR="00BA1A1A" w:rsidRPr="00A62729" w:rsidRDefault="00BA1A1A" w:rsidP="00EF33A4">
            <w:pPr>
              <w:jc w:val="center"/>
              <w:rPr>
                <w:rFonts w:cs="Arial"/>
                <w:color w:val="000000"/>
                <w:sz w:val="18"/>
                <w:szCs w:val="18"/>
              </w:rPr>
            </w:pPr>
          </w:p>
        </w:tc>
      </w:tr>
      <w:tr w:rsidR="00D52E5D" w:rsidRPr="00A62729" w14:paraId="331F51F1"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F7BB90" w14:textId="77777777"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0E382D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32713BC" w14:textId="77777777" w:rsidTr="00BA1A1A">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74A3D" w14:textId="77777777"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07FAA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14:paraId="15E36A7B" w14:textId="77777777" w:rsidTr="00BA1A1A">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2CE8F0" w14:textId="77777777" w:rsidR="00BA1A1A" w:rsidRPr="00A62729" w:rsidRDefault="00BA1A1A" w:rsidP="00EF33A4">
            <w:pPr>
              <w:rPr>
                <w:rFonts w:cs="Arial"/>
                <w:color w:val="000000"/>
                <w:sz w:val="18"/>
                <w:szCs w:val="18"/>
              </w:rPr>
            </w:pPr>
            <w:r>
              <w:rPr>
                <w:rFonts w:cs="Arial"/>
                <w:color w:val="000000"/>
                <w:sz w:val="18"/>
                <w:szCs w:val="18"/>
              </w:rPr>
              <w:t>Gläubiger-ID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4EF130A1" w14:textId="77777777" w:rsidR="00BA1A1A" w:rsidRPr="00A62729" w:rsidRDefault="00BA1A1A" w:rsidP="00EF33A4">
            <w:pPr>
              <w:jc w:val="center"/>
              <w:rPr>
                <w:rFonts w:cs="Arial"/>
                <w:color w:val="000000"/>
                <w:sz w:val="18"/>
                <w:szCs w:val="18"/>
              </w:rPr>
            </w:pPr>
          </w:p>
        </w:tc>
      </w:tr>
    </w:tbl>
    <w:p w14:paraId="5078A9EE" w14:textId="77777777" w:rsidR="00F36AB8" w:rsidRDefault="00F36AB8" w:rsidP="007068CE">
      <w:pPr>
        <w:tabs>
          <w:tab w:val="left" w:pos="720"/>
        </w:tabs>
        <w:spacing w:before="120" w:line="240" w:lineRule="atLeast"/>
        <w:jc w:val="both"/>
        <w:rPr>
          <w:rFonts w:cs="Arial"/>
          <w:sz w:val="22"/>
          <w:szCs w:val="22"/>
        </w:rPr>
      </w:pPr>
    </w:p>
    <w:p w14:paraId="401BE09C" w14:textId="77777777" w:rsidR="00F02D21" w:rsidRDefault="00F02D21" w:rsidP="00F012F0">
      <w:pPr>
        <w:autoSpaceDE w:val="0"/>
        <w:autoSpaceDN w:val="0"/>
        <w:adjustRightInd w:val="0"/>
        <w:rPr>
          <w:rFonts w:cs="Arial"/>
          <w:b/>
          <w:bCs/>
          <w:szCs w:val="22"/>
        </w:rPr>
      </w:pPr>
    </w:p>
    <w:p w14:paraId="08848FA6" w14:textId="77777777" w:rsidR="007068CE" w:rsidRDefault="007068CE">
      <w:pPr>
        <w:rPr>
          <w:rFonts w:cs="Arial"/>
          <w:b/>
          <w:bCs/>
          <w:szCs w:val="22"/>
        </w:rPr>
      </w:pPr>
      <w:r>
        <w:rPr>
          <w:rFonts w:cs="Arial"/>
          <w:b/>
          <w:bCs/>
          <w:szCs w:val="22"/>
        </w:rPr>
        <w:br w:type="page"/>
      </w:r>
    </w:p>
    <w:p w14:paraId="60879803" w14:textId="7709CCAF" w:rsidR="00F02D21" w:rsidRPr="007068CE" w:rsidRDefault="00F02D21" w:rsidP="006E261B">
      <w:pPr>
        <w:pStyle w:val="berschrift3"/>
        <w:rPr>
          <w:b w:val="0"/>
          <w:bCs w:val="0"/>
          <w:szCs w:val="22"/>
        </w:rPr>
      </w:pPr>
      <w:bookmarkStart w:id="45" w:name="_Toc99480711"/>
      <w:r>
        <w:rPr>
          <w:szCs w:val="22"/>
        </w:rPr>
        <w:t>Anlage 3</w:t>
      </w:r>
      <w:r w:rsidRPr="007068CE">
        <w:rPr>
          <w:szCs w:val="22"/>
        </w:rPr>
        <w:t xml:space="preserve">: </w:t>
      </w:r>
      <w:r w:rsidRPr="007068CE">
        <w:rPr>
          <w:sz w:val="22"/>
          <w:szCs w:val="22"/>
        </w:rPr>
        <w:t>Vereinbarung über elektronischen Datenaustausch (EDI)</w:t>
      </w:r>
      <w:bookmarkEnd w:id="45"/>
    </w:p>
    <w:p w14:paraId="4CDF9A95" w14:textId="031822E6" w:rsidR="00F02D21" w:rsidRDefault="00F02D21" w:rsidP="00F012F0">
      <w:pPr>
        <w:autoSpaceDE w:val="0"/>
        <w:autoSpaceDN w:val="0"/>
        <w:adjustRightInd w:val="0"/>
        <w:rPr>
          <w:rFonts w:cs="Arial"/>
          <w:b/>
          <w:bCs/>
          <w:szCs w:val="22"/>
        </w:rPr>
      </w:pPr>
    </w:p>
    <w:p w14:paraId="07872C25" w14:textId="350A7080"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Zielsetzung und Geltungsbereich</w:t>
      </w:r>
    </w:p>
    <w:p w14:paraId="67B54ED9" w14:textId="77777777" w:rsidR="00EE12CC" w:rsidRPr="007B1CBA" w:rsidRDefault="00EE12CC" w:rsidP="00EE12CC">
      <w:pPr>
        <w:autoSpaceDE w:val="0"/>
        <w:autoSpaceDN w:val="0"/>
        <w:adjustRightInd w:val="0"/>
        <w:rPr>
          <w:rFonts w:eastAsia="Calibri" w:cs="Arial"/>
          <w:color w:val="000000"/>
          <w:sz w:val="22"/>
          <w:szCs w:val="22"/>
          <w:lang w:eastAsia="en-US"/>
        </w:rPr>
      </w:pPr>
    </w:p>
    <w:p w14:paraId="319EB8A5" w14:textId="2570ECA1"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 xml:space="preserve">Die "EDI-Vereinbarung", nachfolgend "die Vereinbarung" genannt, legt die rechtlichen Bedingungen und Vorschriften fest, denen die Parteien bei der Abwicklung von Transaktionen mit Hilfe des elektronischen Datenaustausches (EDI) unterliegen. </w:t>
      </w:r>
      <w:r w:rsidR="0038077C">
        <w:rPr>
          <w:rFonts w:eastAsia="Calibri" w:cs="Arial"/>
          <w:color w:val="000000"/>
          <w:sz w:val="22"/>
          <w:szCs w:val="22"/>
          <w:lang w:eastAsia="en-US"/>
        </w:rPr>
        <w:t xml:space="preserve">Der </w:t>
      </w:r>
      <w:r w:rsidRPr="007B1CBA">
        <w:rPr>
          <w:rFonts w:eastAsia="Calibri" w:cs="Arial"/>
          <w:color w:val="000000"/>
          <w:sz w:val="22"/>
          <w:szCs w:val="22"/>
          <w:lang w:eastAsia="en-US"/>
        </w:rPr>
        <w:t xml:space="preserve">automatisierte Datenaustausch </w:t>
      </w:r>
      <w:r w:rsidR="0038077C">
        <w:rPr>
          <w:rFonts w:eastAsia="Calibri" w:cs="Arial"/>
          <w:color w:val="000000"/>
          <w:sz w:val="22"/>
          <w:szCs w:val="22"/>
          <w:lang w:eastAsia="en-US"/>
        </w:rPr>
        <w:t xml:space="preserve">erfolgt auf Grundlage der einschlägigen Festlegungen der </w:t>
      </w:r>
      <w:r w:rsidRPr="007B1CBA">
        <w:rPr>
          <w:rFonts w:eastAsia="Calibri" w:cs="Arial"/>
          <w:color w:val="000000"/>
          <w:sz w:val="22"/>
          <w:szCs w:val="22"/>
          <w:lang w:eastAsia="en-US"/>
        </w:rPr>
        <w:t xml:space="preserve">Bundesnetzagentur </w:t>
      </w:r>
      <w:r w:rsidR="0038077C">
        <w:rPr>
          <w:rFonts w:eastAsia="Calibri" w:cs="Arial"/>
          <w:color w:val="000000"/>
          <w:sz w:val="22"/>
          <w:szCs w:val="22"/>
          <w:lang w:eastAsia="en-US"/>
        </w:rPr>
        <w:t>(BNetzA)</w:t>
      </w:r>
      <w:r w:rsidRPr="007B1CBA">
        <w:rPr>
          <w:rFonts w:eastAsia="Calibri" w:cs="Arial"/>
          <w:color w:val="000000"/>
          <w:sz w:val="22"/>
          <w:szCs w:val="22"/>
          <w:lang w:eastAsia="en-US"/>
        </w:rPr>
        <w:t xml:space="preserve"> in ihrer jeweils gültigen Fassung in Verbindung mit den entsprechenden Mitteilungen der BNetzA und den gültigen Nachrichten- und Prozessbeschreibungen zu den festgelegten Formaten. </w:t>
      </w:r>
      <w:r w:rsidR="0038077C">
        <w:rPr>
          <w:sz w:val="22"/>
          <w:szCs w:val="22"/>
        </w:rPr>
        <w:t xml:space="preserve">Für die Datenübertragung </w:t>
      </w:r>
      <w:proofErr w:type="gramStart"/>
      <w:r w:rsidR="0038077C">
        <w:rPr>
          <w:sz w:val="22"/>
          <w:szCs w:val="22"/>
        </w:rPr>
        <w:t>sind</w:t>
      </w:r>
      <w:proofErr w:type="gramEnd"/>
      <w:r w:rsidR="0038077C">
        <w:rPr>
          <w:sz w:val="22"/>
          <w:szCs w:val="22"/>
        </w:rPr>
        <w:t xml:space="preserve"> die aktuell gültigen EDI@Energy-Dokumente zu verwenden.</w:t>
      </w:r>
    </w:p>
    <w:p w14:paraId="311E554E" w14:textId="005ABF46" w:rsidR="00EE12CC" w:rsidRPr="007B1CBA" w:rsidRDefault="00EE12CC" w:rsidP="00115885">
      <w:pPr>
        <w:autoSpaceDE w:val="0"/>
        <w:autoSpaceDN w:val="0"/>
        <w:adjustRightInd w:val="0"/>
        <w:rPr>
          <w:rFonts w:eastAsia="Calibri" w:cs="Arial"/>
          <w:color w:val="000000"/>
          <w:sz w:val="22"/>
          <w:szCs w:val="22"/>
          <w:lang w:eastAsia="en-US"/>
        </w:rPr>
      </w:pPr>
    </w:p>
    <w:p w14:paraId="73BB501F" w14:textId="72F78946"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w:t>
      </w:r>
      <w:r w:rsidR="00B70372">
        <w:rPr>
          <w:rFonts w:eastAsia="Calibri" w:cs="Arial"/>
          <w:color w:val="000000"/>
          <w:sz w:val="22"/>
          <w:szCs w:val="22"/>
          <w:lang w:eastAsia="en-US"/>
        </w:rPr>
        <w:t>r</w:t>
      </w:r>
      <w:r w:rsidRPr="007B1CBA">
        <w:rPr>
          <w:rFonts w:eastAsia="Calibri" w:cs="Arial"/>
          <w:color w:val="000000"/>
          <w:sz w:val="22"/>
          <w:szCs w:val="22"/>
          <w:lang w:eastAsia="en-US"/>
        </w:rPr>
        <w:t xml:space="preserve">echtlichen Bestimmungen und wird durch </w:t>
      </w:r>
      <w:r w:rsidR="00F06894">
        <w:rPr>
          <w:sz w:val="22"/>
          <w:szCs w:val="22"/>
        </w:rPr>
        <w:t>die Anwendung der technischen und organisatorischen Maßnahmen zum Datenaustausch, die in den EDI@</w:t>
      </w:r>
      <w:r w:rsidR="005959FA">
        <w:rPr>
          <w:sz w:val="22"/>
          <w:szCs w:val="22"/>
        </w:rPr>
        <w:t>E</w:t>
      </w:r>
      <w:r w:rsidR="00F06894">
        <w:rPr>
          <w:sz w:val="22"/>
          <w:szCs w:val="22"/>
        </w:rPr>
        <w:t xml:space="preserve">nergy-Dokumenten „Allgemeine Festlegungen“ und „Regelungen zum Übertragungsweg“ in der jeweils gültigen Fassung geregelt sind, </w:t>
      </w:r>
      <w:r w:rsidRPr="007B1CBA">
        <w:rPr>
          <w:rFonts w:eastAsia="Calibri" w:cs="Arial"/>
          <w:color w:val="000000"/>
          <w:sz w:val="22"/>
          <w:szCs w:val="22"/>
          <w:lang w:eastAsia="en-US"/>
        </w:rPr>
        <w:t>ergänzt.</w:t>
      </w:r>
    </w:p>
    <w:p w14:paraId="73FDBDB4"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p>
    <w:p w14:paraId="686399C0" w14:textId="2CE2E2D1"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p>
    <w:p w14:paraId="500E423A" w14:textId="7ABFF229" w:rsidR="00EE12CC" w:rsidRPr="007B1CBA" w:rsidRDefault="00EE12CC" w:rsidP="00E27CCF">
      <w:pPr>
        <w:autoSpaceDE w:val="0"/>
        <w:autoSpaceDN w:val="0"/>
        <w:adjustRightInd w:val="0"/>
        <w:rPr>
          <w:rFonts w:eastAsia="Calibri" w:cs="Arial"/>
          <w:color w:val="000000"/>
          <w:sz w:val="22"/>
          <w:szCs w:val="22"/>
          <w:lang w:eastAsia="en-US"/>
        </w:rPr>
      </w:pPr>
    </w:p>
    <w:p w14:paraId="4E0F7EFD"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43879A89" w14:textId="688442FA"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Begriffsbestimmungen</w:t>
      </w:r>
    </w:p>
    <w:p w14:paraId="44403F74" w14:textId="77777777" w:rsidR="00EE12CC" w:rsidRPr="007B1CBA" w:rsidRDefault="00EE12CC" w:rsidP="00EE12CC">
      <w:pPr>
        <w:autoSpaceDE w:val="0"/>
        <w:autoSpaceDN w:val="0"/>
        <w:adjustRightInd w:val="0"/>
        <w:rPr>
          <w:rFonts w:eastAsia="Calibri" w:cs="Arial"/>
          <w:color w:val="000000"/>
          <w:sz w:val="22"/>
          <w:szCs w:val="22"/>
          <w:lang w:eastAsia="en-US"/>
        </w:rPr>
      </w:pPr>
    </w:p>
    <w:p w14:paraId="6FCF1C21"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p>
    <w:p w14:paraId="777719C4" w14:textId="77777777" w:rsidR="00EE12CC" w:rsidRPr="007B1CBA" w:rsidRDefault="00EE12CC" w:rsidP="00EE12CC">
      <w:pPr>
        <w:autoSpaceDE w:val="0"/>
        <w:autoSpaceDN w:val="0"/>
        <w:adjustRightInd w:val="0"/>
        <w:rPr>
          <w:rFonts w:eastAsia="Calibri" w:cs="Arial"/>
          <w:color w:val="000000"/>
          <w:sz w:val="22"/>
          <w:szCs w:val="22"/>
          <w:lang w:eastAsia="en-US"/>
        </w:rPr>
      </w:pPr>
    </w:p>
    <w:p w14:paraId="2F24771B" w14:textId="2AB5F9B9"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14:paraId="24FA06E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6E67E77" w14:textId="6FA0AC39"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lässt. </w:t>
      </w:r>
    </w:p>
    <w:p w14:paraId="738E72D2"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3AD7C91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p>
    <w:p w14:paraId="034A594A" w14:textId="77777777"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Gemäß der Definition durch die UN/ECE (United Nations Economic Commission for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14:paraId="60375FFD" w14:textId="77777777" w:rsidR="005959FA" w:rsidRPr="007B1CBA" w:rsidRDefault="005959FA" w:rsidP="005959FA">
      <w:pPr>
        <w:autoSpaceDE w:val="0"/>
        <w:autoSpaceDN w:val="0"/>
        <w:adjustRightInd w:val="0"/>
        <w:rPr>
          <w:rFonts w:eastAsia="Calibri" w:cs="Arial"/>
          <w:color w:val="000000"/>
          <w:sz w:val="22"/>
          <w:szCs w:val="22"/>
          <w:lang w:eastAsia="en-US"/>
        </w:rPr>
      </w:pPr>
    </w:p>
    <w:p w14:paraId="476A4DCB" w14:textId="77777777" w:rsidR="005959FA" w:rsidRPr="007B1CBA" w:rsidRDefault="005959FA" w:rsidP="005959FA">
      <w:pPr>
        <w:autoSpaceDE w:val="0"/>
        <w:autoSpaceDN w:val="0"/>
        <w:adjustRightInd w:val="0"/>
        <w:rPr>
          <w:rFonts w:eastAsia="Calibri" w:cs="Arial"/>
          <w:b/>
          <w:bCs/>
          <w:color w:val="000000"/>
          <w:sz w:val="22"/>
          <w:szCs w:val="22"/>
          <w:lang w:eastAsia="en-US"/>
        </w:rPr>
      </w:pPr>
    </w:p>
    <w:p w14:paraId="2C2CAD0F" w14:textId="5065B2AC" w:rsidR="00EE12CC" w:rsidRPr="007B1CBA" w:rsidRDefault="00CD330F" w:rsidP="00EE12CC">
      <w:pPr>
        <w:autoSpaceDE w:val="0"/>
        <w:autoSpaceDN w:val="0"/>
        <w:adjustRightInd w:val="0"/>
        <w:rPr>
          <w:rFonts w:eastAsia="Calibri" w:cs="Arial"/>
          <w:b/>
          <w:bCs/>
          <w:color w:val="000000"/>
          <w:sz w:val="22"/>
          <w:szCs w:val="22"/>
          <w:lang w:eastAsia="en-US"/>
        </w:rPr>
      </w:pPr>
      <w:r>
        <w:rPr>
          <w:rFonts w:eastAsia="Calibri" w:cs="Arial"/>
          <w:b/>
          <w:bCs/>
          <w:color w:val="000000"/>
          <w:sz w:val="22"/>
          <w:szCs w:val="22"/>
          <w:lang w:eastAsia="en-US"/>
        </w:rPr>
        <w:t>3</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Sicherheit von EDI-Nachrichten</w:t>
      </w:r>
    </w:p>
    <w:p w14:paraId="48F7D1C5" w14:textId="65A34C3D" w:rsidR="00EE12CC" w:rsidRPr="007B1CBA" w:rsidRDefault="00EE12CC" w:rsidP="00EE12CC">
      <w:pPr>
        <w:autoSpaceDE w:val="0"/>
        <w:autoSpaceDN w:val="0"/>
        <w:adjustRightInd w:val="0"/>
        <w:rPr>
          <w:rFonts w:eastAsia="Calibri" w:cs="Arial"/>
          <w:color w:val="000000"/>
          <w:sz w:val="22"/>
          <w:szCs w:val="22"/>
          <w:lang w:eastAsia="en-US"/>
        </w:rPr>
      </w:pPr>
    </w:p>
    <w:p w14:paraId="031AE112" w14:textId="25E6588C" w:rsidR="008D4D00" w:rsidRPr="0017700D" w:rsidRDefault="00CD330F" w:rsidP="0017700D">
      <w:pPr>
        <w:autoSpaceDE w:val="0"/>
        <w:autoSpaceDN w:val="0"/>
        <w:adjustRightInd w:val="0"/>
        <w:ind w:left="705" w:hanging="705"/>
        <w:rPr>
          <w:rFonts w:eastAsia="Calibri" w:cs="Arial"/>
          <w:color w:val="000000"/>
          <w:sz w:val="22"/>
          <w:szCs w:val="22"/>
          <w:lang w:eastAsia="en-US"/>
        </w:rPr>
      </w:pPr>
      <w:r w:rsidRPr="0017700D">
        <w:rPr>
          <w:rFonts w:eastAsia="Calibri" w:cs="Arial"/>
          <w:color w:val="000000"/>
          <w:sz w:val="22"/>
          <w:szCs w:val="22"/>
          <w:lang w:eastAsia="en-US"/>
        </w:rPr>
        <w:t>3</w:t>
      </w:r>
      <w:r w:rsidR="00EE12CC" w:rsidRPr="0017700D">
        <w:rPr>
          <w:rFonts w:eastAsia="Calibri" w:cs="Arial"/>
          <w:color w:val="000000"/>
          <w:sz w:val="22"/>
          <w:szCs w:val="22"/>
          <w:lang w:eastAsia="en-US"/>
        </w:rPr>
        <w:t xml:space="preserve">.1 </w:t>
      </w:r>
      <w:r w:rsidR="00EE12CC" w:rsidRPr="0017700D">
        <w:rPr>
          <w:rFonts w:eastAsia="Calibri" w:cs="Arial"/>
          <w:color w:val="000000"/>
          <w:sz w:val="22"/>
          <w:szCs w:val="22"/>
          <w:lang w:eastAsia="en-US"/>
        </w:rPr>
        <w:tab/>
      </w:r>
      <w:r w:rsidR="00EE12CC" w:rsidRPr="007B1CBA">
        <w:rPr>
          <w:rFonts w:eastAsia="Calibri" w:cs="Arial"/>
          <w:color w:val="000000"/>
          <w:sz w:val="22"/>
          <w:szCs w:val="22"/>
          <w:lang w:eastAsia="en-US"/>
        </w:rPr>
        <w:t>Die Parteien verpflichten sich, Sicherheitsverfahren und -maßnahmen durchzuführen und aufrechtzuerhalten, um EDI-Nachrichten vor unbefugtem Zugriff, Veränderungen, Verzögerung, Zerstörung oder Verlust zu schützen.</w:t>
      </w:r>
      <w:r w:rsidR="00BD01DF">
        <w:rPr>
          <w:rFonts w:eastAsia="Calibri" w:cs="Arial"/>
          <w:color w:val="000000"/>
          <w:sz w:val="22"/>
          <w:szCs w:val="22"/>
          <w:lang w:eastAsia="en-US"/>
        </w:rPr>
        <w:t xml:space="preserve"> </w:t>
      </w:r>
      <w:r w:rsidR="00BD01DF" w:rsidRPr="0017700D">
        <w:rPr>
          <w:rFonts w:eastAsia="Calibri" w:cs="Arial"/>
          <w:color w:val="000000"/>
          <w:sz w:val="22"/>
          <w:szCs w:val="22"/>
          <w:lang w:eastAsia="en-US"/>
        </w:rPr>
        <w:t>Es gelten die im Rahmen der Ex-pertengruppe E</w:t>
      </w:r>
      <w:r w:rsidR="003C4C21" w:rsidRPr="0017700D">
        <w:rPr>
          <w:rFonts w:eastAsia="Calibri" w:cs="Arial"/>
          <w:color w:val="000000"/>
          <w:sz w:val="22"/>
          <w:szCs w:val="22"/>
          <w:lang w:eastAsia="en-US"/>
        </w:rPr>
        <w:t>DI</w:t>
      </w:r>
      <w:r w:rsidR="00BD01DF" w:rsidRPr="0017700D">
        <w:rPr>
          <w:rFonts w:eastAsia="Calibri" w:cs="Arial"/>
          <w:color w:val="000000"/>
          <w:sz w:val="22"/>
          <w:szCs w:val="22"/>
          <w:lang w:eastAsia="en-US"/>
        </w:rPr>
        <w:t>@Energy abgestimmten und von der Projektführung des BDEW in den Dokumenten festgelegten Sicherheitsverfahren und -maßnahmen. Sie sind de</w:t>
      </w:r>
      <w:r w:rsidR="003C4C21" w:rsidRPr="0017700D">
        <w:rPr>
          <w:rFonts w:eastAsia="Calibri" w:cs="Arial"/>
          <w:color w:val="000000"/>
          <w:sz w:val="22"/>
          <w:szCs w:val="22"/>
          <w:lang w:eastAsia="en-US"/>
        </w:rPr>
        <w:t>n</w:t>
      </w:r>
      <w:r w:rsidR="00BD01DF" w:rsidRPr="0017700D">
        <w:rPr>
          <w:rFonts w:eastAsia="Calibri" w:cs="Arial"/>
          <w:color w:val="000000"/>
          <w:sz w:val="22"/>
          <w:szCs w:val="22"/>
          <w:lang w:eastAsia="en-US"/>
        </w:rPr>
        <w:t xml:space="preserve"> EDI@Energy</w:t>
      </w:r>
      <w:r w:rsidR="003C4C21" w:rsidRPr="0017700D">
        <w:rPr>
          <w:rFonts w:eastAsia="Calibri" w:cs="Arial"/>
          <w:color w:val="000000"/>
          <w:sz w:val="22"/>
          <w:szCs w:val="22"/>
          <w:lang w:eastAsia="en-US"/>
        </w:rPr>
        <w:t xml:space="preserve"> </w:t>
      </w:r>
      <w:r w:rsidR="00BD01DF" w:rsidRPr="0017700D">
        <w:rPr>
          <w:rFonts w:eastAsia="Calibri" w:cs="Arial"/>
          <w:color w:val="000000"/>
          <w:sz w:val="22"/>
          <w:szCs w:val="22"/>
          <w:lang w:eastAsia="en-US"/>
        </w:rPr>
        <w:t>„Regelungen zum Übertragungsweg“ und „Allgemeine Festlegungen“ verbändeübergreifend erarbeiteten Spezifikationen in der jeweils gültigen Fassung zu entnehmen.</w:t>
      </w:r>
    </w:p>
    <w:p w14:paraId="10DFB1A7" w14:textId="34D97E19" w:rsidR="003C4C21" w:rsidRPr="007B1CBA" w:rsidRDefault="0017700D" w:rsidP="0017700D">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ab/>
      </w:r>
    </w:p>
    <w:p w14:paraId="7238E66D" w14:textId="12994F8E" w:rsidR="00EE12CC" w:rsidRPr="007B1CBA" w:rsidRDefault="00BD6655" w:rsidP="008D4D00">
      <w:pPr>
        <w:autoSpaceDE w:val="0"/>
        <w:autoSpaceDN w:val="0"/>
        <w:adjustRightInd w:val="0"/>
        <w:ind w:left="708" w:hanging="705"/>
        <w:rPr>
          <w:rFonts w:eastAsia="Calibri" w:cs="Arial"/>
          <w:color w:val="000000"/>
          <w:sz w:val="22"/>
          <w:szCs w:val="22"/>
          <w:lang w:eastAsia="en-US"/>
        </w:rPr>
      </w:pPr>
      <w:r>
        <w:rPr>
          <w:rFonts w:eastAsia="Calibri" w:cs="Arial"/>
          <w:color w:val="000000"/>
          <w:sz w:val="22"/>
          <w:szCs w:val="22"/>
          <w:lang w:eastAsia="en-US"/>
        </w:rPr>
        <w:t>3</w:t>
      </w:r>
      <w:r w:rsidR="00EE12CC" w:rsidRPr="007B1CBA">
        <w:rPr>
          <w:rFonts w:eastAsia="Calibri" w:cs="Arial"/>
          <w:color w:val="000000"/>
          <w:sz w:val="22"/>
          <w:szCs w:val="22"/>
          <w:lang w:eastAsia="en-US"/>
        </w:rPr>
        <w:t xml:space="preserve">.2 </w:t>
      </w:r>
      <w:r w:rsidR="00EE12CC" w:rsidRPr="007B1CBA">
        <w:rPr>
          <w:rFonts w:eastAsia="Calibri" w:cs="Arial"/>
          <w:color w:val="000000"/>
          <w:sz w:val="22"/>
          <w:szCs w:val="22"/>
          <w:lang w:eastAsia="en-US"/>
        </w:rPr>
        <w:tab/>
        <w:t xml:space="preserve">Zu den Sicherheitsverfahren und -maßnahmen gehören die Überprüfung des Ursprungs, die Überprüfung der Integrität, die Nichtabstreitbarkeit von Ursprung und Empfang sowie die Gewährleistung der Vertraulichkeit von EDI-Nachrichten. </w:t>
      </w:r>
    </w:p>
    <w:p w14:paraId="1B4BFF13" w14:textId="77777777" w:rsidR="00CD330F" w:rsidRDefault="00CD330F" w:rsidP="00CD330F">
      <w:pPr>
        <w:autoSpaceDE w:val="0"/>
        <w:autoSpaceDN w:val="0"/>
        <w:adjustRightInd w:val="0"/>
        <w:ind w:left="708"/>
        <w:rPr>
          <w:rFonts w:eastAsia="Calibri" w:cs="Arial"/>
          <w:color w:val="000000"/>
          <w:sz w:val="22"/>
          <w:szCs w:val="22"/>
          <w:lang w:eastAsia="en-US"/>
        </w:rPr>
      </w:pPr>
    </w:p>
    <w:p w14:paraId="3BC9EDDC" w14:textId="404C6017" w:rsidR="00EE12CC" w:rsidRPr="007B1CBA" w:rsidRDefault="00EE12CC" w:rsidP="00CD330F">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Sicherheitsverfahren und -maßnahmen zur Überprüfung des Ursprungs und der Integrität, um den Sender einer EDI-Nachricht zu identifizieren und sicherzustellen, dass jede empfangene EDI-Nachricht vollständig ist und nicht verstümmelt wurde, sind für alle Nachrichten obligatorisch.</w:t>
      </w:r>
      <w:r w:rsidR="00CD330F">
        <w:rPr>
          <w:rFonts w:eastAsia="Calibri" w:cs="Arial"/>
          <w:color w:val="000000"/>
          <w:sz w:val="22"/>
          <w:szCs w:val="22"/>
          <w:lang w:eastAsia="en-US"/>
        </w:rPr>
        <w:br/>
      </w:r>
    </w:p>
    <w:p w14:paraId="4CB6E238" w14:textId="16C75C9A" w:rsidR="00EE12CC" w:rsidRPr="007B1CBA" w:rsidRDefault="00BD6655" w:rsidP="008D4D00">
      <w:pPr>
        <w:autoSpaceDE w:val="0"/>
        <w:autoSpaceDN w:val="0"/>
        <w:adjustRightInd w:val="0"/>
        <w:ind w:left="708" w:hanging="705"/>
        <w:rPr>
          <w:rFonts w:eastAsia="Calibri" w:cs="Arial"/>
          <w:color w:val="000000"/>
          <w:sz w:val="22"/>
          <w:szCs w:val="22"/>
          <w:lang w:eastAsia="en-US"/>
        </w:rPr>
      </w:pPr>
      <w:r>
        <w:rPr>
          <w:rFonts w:eastAsia="Calibri" w:cs="Arial"/>
          <w:color w:val="000000"/>
          <w:sz w:val="22"/>
          <w:szCs w:val="22"/>
          <w:lang w:eastAsia="en-US"/>
        </w:rPr>
        <w:t>3</w:t>
      </w:r>
      <w:r w:rsidR="00EE12CC" w:rsidRPr="007B1CBA">
        <w:rPr>
          <w:rFonts w:eastAsia="Calibri" w:cs="Arial"/>
          <w:color w:val="000000"/>
          <w:sz w:val="22"/>
          <w:szCs w:val="22"/>
          <w:lang w:eastAsia="en-US"/>
        </w:rPr>
        <w:t xml:space="preserve">.3 </w:t>
      </w:r>
      <w:r w:rsidR="00EE12CC" w:rsidRPr="007B1CBA">
        <w:rPr>
          <w:rFonts w:eastAsia="Calibri" w:cs="Arial"/>
          <w:color w:val="000000"/>
          <w:sz w:val="22"/>
          <w:szCs w:val="22"/>
          <w:lang w:eastAsia="en-US"/>
        </w:rPr>
        <w:tab/>
        <w:t xml:space="preserve">Führen die Sicherheitsverfahren und -maßnahmen zur Zurückweisung einer EDI-Nachricht informiert der Empfänger den Sender darüber unverzüglich. </w:t>
      </w:r>
    </w:p>
    <w:p w14:paraId="1F115B42" w14:textId="64F4436B" w:rsidR="00EE12CC" w:rsidRPr="007B1CBA" w:rsidRDefault="00EE12CC" w:rsidP="00BD6655">
      <w:pPr>
        <w:autoSpaceDE w:val="0"/>
        <w:autoSpaceDN w:val="0"/>
        <w:adjustRightInd w:val="0"/>
        <w:ind w:left="708" w:hanging="705"/>
        <w:rPr>
          <w:rFonts w:eastAsia="Calibri" w:cs="Arial"/>
          <w:color w:val="000000"/>
          <w:sz w:val="22"/>
          <w:szCs w:val="22"/>
          <w:lang w:eastAsia="en-US"/>
        </w:rPr>
      </w:pPr>
    </w:p>
    <w:p w14:paraId="67E5724B" w14:textId="7315BF1D" w:rsidR="00EE12CC" w:rsidRDefault="00EE12CC" w:rsidP="0046432C">
      <w:pPr>
        <w:pStyle w:val="Default"/>
        <w:ind w:left="708"/>
        <w:rPr>
          <w:rFonts w:eastAsia="Calibri"/>
          <w:sz w:val="22"/>
          <w:szCs w:val="22"/>
          <w:lang w:eastAsia="en-US"/>
        </w:rPr>
      </w:pPr>
      <w:r w:rsidRPr="007B1CBA">
        <w:rPr>
          <w:rFonts w:eastAsia="Calibri"/>
          <w:sz w:val="22"/>
          <w:szCs w:val="22"/>
          <w:lang w:eastAsia="en-US"/>
        </w:rPr>
        <w:t>Der Empfänger einer EDI-Nachricht, die zurückgewiesen wurde oder einen Fehler enthält, reagiert erst dann auf die Nachricht, wenn er Anweisungen des Senders empfängt.</w:t>
      </w:r>
    </w:p>
    <w:p w14:paraId="2451B3F2" w14:textId="77777777" w:rsidR="0046432C" w:rsidRPr="007B1CBA" w:rsidRDefault="0046432C" w:rsidP="0046432C">
      <w:pPr>
        <w:pStyle w:val="Default"/>
        <w:ind w:left="708"/>
        <w:rPr>
          <w:rFonts w:eastAsia="Calibri"/>
          <w:sz w:val="22"/>
          <w:szCs w:val="22"/>
          <w:lang w:eastAsia="en-US"/>
        </w:rPr>
      </w:pPr>
    </w:p>
    <w:p w14:paraId="685E84FB"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0D2073F1" w14:textId="6C8AA5C1" w:rsidR="00EE12CC" w:rsidRPr="007B1CBA" w:rsidRDefault="00A43546" w:rsidP="00EE12CC">
      <w:pPr>
        <w:autoSpaceDE w:val="0"/>
        <w:autoSpaceDN w:val="0"/>
        <w:adjustRightInd w:val="0"/>
        <w:rPr>
          <w:rFonts w:eastAsia="Calibri" w:cs="Arial"/>
          <w:color w:val="000000"/>
          <w:sz w:val="22"/>
          <w:szCs w:val="22"/>
          <w:lang w:eastAsia="en-US"/>
        </w:rPr>
      </w:pPr>
      <w:r>
        <w:rPr>
          <w:rFonts w:eastAsia="Calibri" w:cs="Arial"/>
          <w:b/>
          <w:bCs/>
          <w:color w:val="000000"/>
          <w:sz w:val="22"/>
          <w:szCs w:val="22"/>
          <w:lang w:eastAsia="en-US"/>
        </w:rPr>
        <w:t>4</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Vertraulichkeit und Schutz personenbezogener Daten</w:t>
      </w:r>
    </w:p>
    <w:p w14:paraId="310CA777" w14:textId="77777777" w:rsidR="00EE12CC" w:rsidRPr="007B1CBA" w:rsidRDefault="00EE12CC" w:rsidP="00EE12CC">
      <w:pPr>
        <w:autoSpaceDE w:val="0"/>
        <w:autoSpaceDN w:val="0"/>
        <w:adjustRightInd w:val="0"/>
        <w:rPr>
          <w:rFonts w:eastAsia="Calibri" w:cs="Arial"/>
          <w:color w:val="000000"/>
          <w:sz w:val="22"/>
          <w:szCs w:val="22"/>
          <w:lang w:eastAsia="en-US"/>
        </w:rPr>
      </w:pPr>
    </w:p>
    <w:p w14:paraId="4D813B93" w14:textId="5CDBFEFE" w:rsidR="00EE12CC" w:rsidRPr="007B1CBA" w:rsidRDefault="00A43546" w:rsidP="00EE12CC">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4</w:t>
      </w:r>
      <w:r w:rsidR="00EE12CC" w:rsidRPr="007B1CBA">
        <w:rPr>
          <w:rFonts w:eastAsia="Calibri" w:cs="Arial"/>
          <w:color w:val="000000"/>
          <w:sz w:val="22"/>
          <w:szCs w:val="22"/>
          <w:lang w:eastAsia="en-US"/>
        </w:rPr>
        <w:t xml:space="preserve">.1 </w:t>
      </w:r>
      <w:r w:rsidR="00EE12CC"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w:t>
      </w:r>
      <w:proofErr w:type="gramStart"/>
      <w:r w:rsidR="00EE12CC" w:rsidRPr="007B1CBA">
        <w:rPr>
          <w:rFonts w:eastAsia="Calibri" w:cs="Arial"/>
          <w:color w:val="000000"/>
          <w:sz w:val="22"/>
          <w:szCs w:val="22"/>
          <w:lang w:eastAsia="en-US"/>
        </w:rPr>
        <w:t>gesendet,</w:t>
      </w:r>
      <w:proofErr w:type="gramEnd"/>
      <w:r w:rsidR="00EE12CC" w:rsidRPr="007B1CBA">
        <w:rPr>
          <w:rFonts w:eastAsia="Calibri" w:cs="Arial"/>
          <w:color w:val="000000"/>
          <w:sz w:val="22"/>
          <w:szCs w:val="22"/>
          <w:lang w:eastAsia="en-US"/>
        </w:rPr>
        <w:t xml:space="preserve"> noch zu anderen als von den Parteien vorgesehenen Zwecken verwendet werden. </w:t>
      </w:r>
      <w:r w:rsidR="00BD01DF">
        <w:rPr>
          <w:sz w:val="22"/>
          <w:szCs w:val="22"/>
        </w:rPr>
        <w:t>Die EU-Datenschutzgrundverordnung (DSGVO), die einschlägigen Daten-schutzgesetze sowie das Messstellenbetriebsgesetz sind zu beachten.</w:t>
      </w:r>
    </w:p>
    <w:p w14:paraId="71D74AD8"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6B5F3581" w14:textId="7ED25127"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Mit entsprechender Berechtigung unterliegt die weitere Übertragung derartiger vertraulicher Informationen demselben Vertraulichkeitsgrad.</w:t>
      </w:r>
    </w:p>
    <w:p w14:paraId="3E948B93"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EB62A4C" w14:textId="383EDD75" w:rsidR="008D4D00" w:rsidRPr="007B1CBA" w:rsidRDefault="00A43546" w:rsidP="00EE12CC">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4</w:t>
      </w:r>
      <w:r w:rsidR="00EE12CC" w:rsidRPr="007B1CBA">
        <w:rPr>
          <w:rFonts w:eastAsia="Calibri" w:cs="Arial"/>
          <w:color w:val="000000"/>
          <w:sz w:val="22"/>
          <w:szCs w:val="22"/>
          <w:lang w:eastAsia="en-US"/>
        </w:rPr>
        <w:t xml:space="preserve">.2 </w:t>
      </w:r>
      <w:r w:rsidR="00EE12CC" w:rsidRPr="007B1CBA">
        <w:rPr>
          <w:rFonts w:eastAsia="Calibri" w:cs="Arial"/>
          <w:color w:val="000000"/>
          <w:sz w:val="22"/>
          <w:szCs w:val="22"/>
          <w:lang w:eastAsia="en-US"/>
        </w:rPr>
        <w:tab/>
        <w:t>EDI-Nachrichten werden nicht als Träger vertraulicher Informationen betrachtet, soweit die Informationen allgemein zugänglich sind.</w:t>
      </w:r>
    </w:p>
    <w:p w14:paraId="2878E46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0DEFF7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5FA321F" w14:textId="3907FB9B" w:rsidR="00EE12CC" w:rsidRPr="007B1CBA" w:rsidRDefault="007E7709" w:rsidP="00EE12CC">
      <w:pPr>
        <w:autoSpaceDE w:val="0"/>
        <w:autoSpaceDN w:val="0"/>
        <w:adjustRightInd w:val="0"/>
        <w:rPr>
          <w:rFonts w:eastAsia="Calibri" w:cs="Arial"/>
          <w:color w:val="000000"/>
          <w:sz w:val="22"/>
          <w:szCs w:val="22"/>
          <w:lang w:eastAsia="en-US"/>
        </w:rPr>
      </w:pPr>
      <w:r>
        <w:rPr>
          <w:rFonts w:eastAsia="Calibri" w:cs="Arial"/>
          <w:b/>
          <w:bCs/>
          <w:color w:val="000000"/>
          <w:sz w:val="22"/>
          <w:szCs w:val="22"/>
          <w:lang w:eastAsia="en-US"/>
        </w:rPr>
        <w:t>5</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Aufzeichnung und Archivierung von Nachrichten</w:t>
      </w:r>
    </w:p>
    <w:p w14:paraId="2A619F36" w14:textId="77777777" w:rsidR="00EE12CC" w:rsidRPr="007B1CBA" w:rsidRDefault="00EE12CC" w:rsidP="00EE12CC">
      <w:pPr>
        <w:autoSpaceDE w:val="0"/>
        <w:autoSpaceDN w:val="0"/>
        <w:adjustRightInd w:val="0"/>
        <w:rPr>
          <w:rFonts w:eastAsia="Calibri" w:cs="Arial"/>
          <w:color w:val="000000"/>
          <w:sz w:val="22"/>
          <w:szCs w:val="22"/>
          <w:lang w:eastAsia="en-US"/>
        </w:rPr>
      </w:pPr>
    </w:p>
    <w:p w14:paraId="7E25AD2F" w14:textId="7F87670D" w:rsidR="00EE12CC" w:rsidRPr="007B1CBA" w:rsidRDefault="007E7709" w:rsidP="00631D22">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5</w:t>
      </w:r>
      <w:r w:rsidR="00EE12CC" w:rsidRPr="007B1CBA">
        <w:rPr>
          <w:rFonts w:eastAsia="Calibri" w:cs="Arial"/>
          <w:color w:val="000000"/>
          <w:sz w:val="22"/>
          <w:szCs w:val="22"/>
          <w:lang w:eastAsia="en-US"/>
        </w:rPr>
        <w:t xml:space="preserve">.1 </w:t>
      </w:r>
      <w:r w:rsidR="00EE12CC"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00EE12CC"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00EE12CC"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00EE12CC" w:rsidRPr="00313129">
        <w:rPr>
          <w:rFonts w:eastAsia="Calibri" w:cs="Arial"/>
          <w:color w:val="000000"/>
          <w:sz w:val="22"/>
          <w:szCs w:val="22"/>
          <w:lang w:eastAsia="en-US"/>
        </w:rPr>
        <w:t>d.</w:t>
      </w:r>
      <w:r w:rsidR="00EE12CC"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handels- und steuerrechtlichen Vorschriften und </w:t>
      </w:r>
      <w:r w:rsidR="0012770D">
        <w:rPr>
          <w:sz w:val="22"/>
          <w:szCs w:val="22"/>
        </w:rPr>
        <w:t xml:space="preserve">den festgelegten Prozessen der BNetzA </w:t>
      </w:r>
      <w:r w:rsidR="00EE12CC" w:rsidRPr="007B1CBA">
        <w:rPr>
          <w:rFonts w:eastAsia="Calibri" w:cs="Arial"/>
          <w:color w:val="000000"/>
          <w:sz w:val="22"/>
          <w:szCs w:val="22"/>
          <w:lang w:eastAsia="en-US"/>
        </w:rPr>
        <w:t>vorgeschrieben sind.</w:t>
      </w:r>
    </w:p>
    <w:p w14:paraId="0671EAB9" w14:textId="77777777" w:rsidR="00EE12CC" w:rsidRPr="007B1CBA" w:rsidRDefault="00EE12CC" w:rsidP="007E7709">
      <w:pPr>
        <w:autoSpaceDE w:val="0"/>
        <w:autoSpaceDN w:val="0"/>
        <w:adjustRightInd w:val="0"/>
        <w:rPr>
          <w:rFonts w:eastAsia="Calibri" w:cs="Arial"/>
          <w:color w:val="000000"/>
          <w:sz w:val="22"/>
          <w:szCs w:val="22"/>
          <w:lang w:eastAsia="en-US"/>
        </w:rPr>
      </w:pPr>
    </w:p>
    <w:p w14:paraId="5B467E6B" w14:textId="08894E45" w:rsidR="00EE12CC" w:rsidRPr="007B1CBA" w:rsidRDefault="007E7709" w:rsidP="007E7709">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5</w:t>
      </w:r>
      <w:r w:rsidR="00EE12CC" w:rsidRPr="007B1CBA">
        <w:rPr>
          <w:rFonts w:eastAsia="Calibri" w:cs="Arial"/>
          <w:color w:val="000000"/>
          <w:sz w:val="22"/>
          <w:szCs w:val="22"/>
          <w:lang w:eastAsia="en-US"/>
        </w:rPr>
        <w:t xml:space="preserve">.2 </w:t>
      </w:r>
      <w:r w:rsidR="00EE12CC" w:rsidRPr="007B1CBA">
        <w:rPr>
          <w:rFonts w:eastAsia="Calibri" w:cs="Arial"/>
          <w:color w:val="000000"/>
          <w:sz w:val="22"/>
          <w:szCs w:val="22"/>
          <w:lang w:eastAsia="en-US"/>
        </w:rPr>
        <w:tab/>
        <w:t xml:space="preserve">Die </w:t>
      </w:r>
      <w:r w:rsidR="0012770D">
        <w:rPr>
          <w:rFonts w:eastAsia="Calibri" w:cs="Arial"/>
          <w:color w:val="000000"/>
          <w:sz w:val="22"/>
          <w:szCs w:val="22"/>
          <w:lang w:eastAsia="en-US"/>
        </w:rPr>
        <w:t>EDI-</w:t>
      </w:r>
      <w:r w:rsidR="00EE12CC" w:rsidRPr="007B1CBA">
        <w:rPr>
          <w:rFonts w:eastAsia="Calibri" w:cs="Arial"/>
          <w:color w:val="000000"/>
          <w:sz w:val="22"/>
          <w:szCs w:val="22"/>
          <w:lang w:eastAsia="en-US"/>
        </w:rPr>
        <w:t xml:space="preserve">Nachrichten werden vom Sender im übertragenen Format und vom Empfänger in dem Format archiviert, in dem sie empfangen werden. Hierbei ist zusätzlich </w:t>
      </w:r>
      <w:r w:rsidR="00EE12CC" w:rsidRPr="00313129">
        <w:rPr>
          <w:rFonts w:eastAsia="Calibri" w:cs="Arial"/>
          <w:color w:val="000000"/>
          <w:sz w:val="22"/>
          <w:szCs w:val="22"/>
          <w:lang w:eastAsia="en-US"/>
        </w:rPr>
        <w:t>sicher</w:t>
      </w:r>
      <w:r w:rsidR="0012770D">
        <w:rPr>
          <w:rFonts w:eastAsia="Calibri" w:cs="Arial"/>
          <w:color w:val="000000"/>
          <w:sz w:val="22"/>
          <w:szCs w:val="22"/>
          <w:lang w:eastAsia="en-US"/>
        </w:rPr>
        <w:t xml:space="preserve"> </w:t>
      </w:r>
      <w:r w:rsidR="00EE12CC" w:rsidRPr="00313129">
        <w:rPr>
          <w:rFonts w:eastAsia="Calibri" w:cs="Arial"/>
          <w:color w:val="000000"/>
          <w:sz w:val="22"/>
          <w:szCs w:val="22"/>
          <w:lang w:eastAsia="en-US"/>
        </w:rPr>
        <w:t>zu</w:t>
      </w:r>
      <w:r w:rsidR="0012770D">
        <w:rPr>
          <w:rFonts w:eastAsia="Calibri" w:cs="Arial"/>
          <w:color w:val="000000"/>
          <w:sz w:val="22"/>
          <w:szCs w:val="22"/>
          <w:lang w:eastAsia="en-US"/>
        </w:rPr>
        <w:t xml:space="preserve"> </w:t>
      </w:r>
      <w:r w:rsidR="00EE12CC" w:rsidRPr="00313129">
        <w:rPr>
          <w:rFonts w:eastAsia="Calibri" w:cs="Arial"/>
          <w:color w:val="000000"/>
          <w:sz w:val="22"/>
          <w:szCs w:val="22"/>
          <w:lang w:eastAsia="en-US"/>
        </w:rPr>
        <w:t>stellen</w:t>
      </w:r>
      <w:r w:rsidR="00EE12CC" w:rsidRPr="007B1CBA">
        <w:rPr>
          <w:rFonts w:eastAsia="Calibri" w:cs="Arial"/>
          <w:color w:val="000000"/>
          <w:sz w:val="22"/>
          <w:szCs w:val="22"/>
          <w:lang w:eastAsia="en-US"/>
        </w:rPr>
        <w:t>, dass die Lesbarkeit über den gesetzlichen Aufbewahrungszeitraum gewährleistet wird.</w:t>
      </w:r>
    </w:p>
    <w:p w14:paraId="3A6CA617" w14:textId="77777777" w:rsidR="00EE12CC" w:rsidRPr="007B1CBA" w:rsidRDefault="00EE12CC" w:rsidP="00991092">
      <w:pPr>
        <w:autoSpaceDE w:val="0"/>
        <w:autoSpaceDN w:val="0"/>
        <w:adjustRightInd w:val="0"/>
        <w:ind w:left="703" w:hanging="703"/>
        <w:rPr>
          <w:rFonts w:eastAsia="Calibri" w:cs="Arial"/>
          <w:color w:val="000000"/>
          <w:sz w:val="22"/>
          <w:szCs w:val="22"/>
          <w:lang w:eastAsia="en-US"/>
        </w:rPr>
      </w:pPr>
    </w:p>
    <w:p w14:paraId="47DCE799" w14:textId="2163918D" w:rsidR="00EE12CC" w:rsidRPr="007B1CBA" w:rsidRDefault="007E7709" w:rsidP="00991092">
      <w:pPr>
        <w:autoSpaceDE w:val="0"/>
        <w:autoSpaceDN w:val="0"/>
        <w:adjustRightInd w:val="0"/>
        <w:ind w:left="703" w:hanging="703"/>
        <w:rPr>
          <w:rFonts w:eastAsia="Calibri" w:cs="Arial"/>
          <w:color w:val="000000"/>
          <w:sz w:val="22"/>
          <w:szCs w:val="22"/>
          <w:lang w:eastAsia="en-US"/>
        </w:rPr>
      </w:pPr>
      <w:r>
        <w:rPr>
          <w:rFonts w:eastAsia="Calibri" w:cs="Arial"/>
          <w:color w:val="000000"/>
          <w:sz w:val="22"/>
          <w:szCs w:val="22"/>
          <w:lang w:eastAsia="en-US"/>
        </w:rPr>
        <w:t>5</w:t>
      </w:r>
      <w:r w:rsidR="00EE12CC" w:rsidRPr="007B1CBA">
        <w:rPr>
          <w:rFonts w:eastAsia="Calibri" w:cs="Arial"/>
          <w:color w:val="000000"/>
          <w:sz w:val="22"/>
          <w:szCs w:val="22"/>
          <w:lang w:eastAsia="en-US"/>
        </w:rPr>
        <w:t xml:space="preserve">.3 </w:t>
      </w:r>
      <w:r w:rsidR="00EE12CC" w:rsidRPr="007B1CBA">
        <w:rPr>
          <w:rFonts w:eastAsia="Calibri" w:cs="Arial"/>
          <w:color w:val="000000"/>
          <w:sz w:val="22"/>
          <w:szCs w:val="22"/>
          <w:lang w:eastAsia="en-US"/>
        </w:rPr>
        <w:tab/>
        <w:t>Die Parteien stellen sicher, dass elektronische Protokolle der EDI-Nachrichten problemlos zugänglich sind und bei Bedarf in einer für Menschen lesbaren Form reproduziert werden können. Betriebseinrichtungen, die hierzu erforderlich sind, müssen beibehalten werden.</w:t>
      </w:r>
      <w:r>
        <w:rPr>
          <w:rFonts w:eastAsia="Calibri" w:cs="Arial"/>
          <w:color w:val="000000"/>
          <w:sz w:val="22"/>
          <w:szCs w:val="22"/>
          <w:lang w:eastAsia="en-US"/>
        </w:rPr>
        <w:br/>
      </w:r>
    </w:p>
    <w:p w14:paraId="00ADC036"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70F60131" w14:textId="11BC3C50" w:rsidR="00EE12CC" w:rsidRPr="007B1CBA" w:rsidRDefault="00631D22" w:rsidP="00991092">
      <w:pPr>
        <w:autoSpaceDE w:val="0"/>
        <w:autoSpaceDN w:val="0"/>
        <w:adjustRightInd w:val="0"/>
        <w:rPr>
          <w:rFonts w:eastAsia="Calibri" w:cs="Arial"/>
          <w:color w:val="000000"/>
          <w:sz w:val="22"/>
          <w:szCs w:val="22"/>
          <w:lang w:eastAsia="en-US"/>
        </w:rPr>
      </w:pPr>
      <w:r>
        <w:rPr>
          <w:rFonts w:eastAsia="Calibri" w:cs="Arial"/>
          <w:b/>
          <w:bCs/>
          <w:color w:val="000000"/>
          <w:sz w:val="22"/>
          <w:szCs w:val="22"/>
          <w:lang w:eastAsia="en-US"/>
        </w:rPr>
        <w:t>6</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 xml:space="preserve">Inkrafttreten, Änderungen, Dauer und Teilnichtigkeit </w:t>
      </w:r>
    </w:p>
    <w:p w14:paraId="2898983B" w14:textId="77777777" w:rsidR="00EE12CC" w:rsidRPr="007B1CBA" w:rsidRDefault="00EE12CC" w:rsidP="00991092">
      <w:pPr>
        <w:rPr>
          <w:rFonts w:eastAsia="Calibri" w:cs="Arial"/>
          <w:sz w:val="22"/>
          <w:szCs w:val="22"/>
          <w:lang w:eastAsia="en-US"/>
        </w:rPr>
      </w:pPr>
    </w:p>
    <w:p w14:paraId="1A7F7185" w14:textId="6A04F61C" w:rsidR="00EE12CC" w:rsidRPr="007B1CBA" w:rsidRDefault="00631D22" w:rsidP="00991092">
      <w:pPr>
        <w:spacing w:after="200"/>
        <w:ind w:left="705" w:hanging="705"/>
        <w:rPr>
          <w:rFonts w:eastAsia="Calibri" w:cs="Arial"/>
          <w:sz w:val="22"/>
          <w:szCs w:val="22"/>
          <w:lang w:eastAsia="en-US"/>
        </w:rPr>
      </w:pPr>
      <w:r w:rsidRPr="00991092">
        <w:rPr>
          <w:rFonts w:eastAsia="Calibri" w:cs="Arial"/>
          <w:color w:val="000000"/>
          <w:sz w:val="22"/>
          <w:szCs w:val="22"/>
          <w:lang w:eastAsia="en-US"/>
        </w:rPr>
        <w:t>6</w:t>
      </w:r>
      <w:r w:rsidR="00EE12CC" w:rsidRPr="00991092">
        <w:rPr>
          <w:rFonts w:eastAsia="Calibri" w:cs="Arial"/>
          <w:color w:val="000000"/>
          <w:sz w:val="22"/>
          <w:szCs w:val="22"/>
          <w:lang w:eastAsia="en-US"/>
        </w:rPr>
        <w:t>.1</w:t>
      </w:r>
      <w:r w:rsidR="00EE12CC" w:rsidRPr="00991092">
        <w:rPr>
          <w:rFonts w:eastAsia="Calibri" w:cs="Arial"/>
          <w:b/>
          <w:bCs/>
          <w:color w:val="000000"/>
          <w:sz w:val="22"/>
          <w:szCs w:val="22"/>
          <w:lang w:eastAsia="en-US"/>
        </w:rPr>
        <w:t xml:space="preserve"> </w:t>
      </w:r>
      <w:r w:rsidR="00EE12CC" w:rsidRPr="00991092">
        <w:rPr>
          <w:rFonts w:eastAsia="Calibri" w:cs="Arial"/>
          <w:b/>
          <w:bCs/>
          <w:color w:val="000000"/>
          <w:sz w:val="22"/>
          <w:szCs w:val="22"/>
          <w:lang w:eastAsia="en-US"/>
        </w:rPr>
        <w:tab/>
      </w:r>
      <w:r w:rsidR="00F76E7D" w:rsidRPr="00991092">
        <w:rPr>
          <w:rFonts w:eastAsia="Calibri" w:cs="Arial"/>
          <w:b/>
          <w:bCs/>
          <w:color w:val="000000"/>
          <w:sz w:val="22"/>
          <w:szCs w:val="22"/>
          <w:lang w:eastAsia="en-US"/>
        </w:rPr>
        <w:t>Inkrafttreten</w:t>
      </w:r>
      <w:r w:rsidR="00991092" w:rsidRPr="00991092">
        <w:rPr>
          <w:rFonts w:eastAsia="Calibri" w:cs="Arial"/>
          <w:b/>
          <w:bCs/>
          <w:color w:val="000000"/>
          <w:sz w:val="22"/>
          <w:szCs w:val="22"/>
          <w:lang w:eastAsia="en-US"/>
        </w:rPr>
        <w:br/>
      </w:r>
      <w:r w:rsidR="00F76E7D">
        <w:rPr>
          <w:sz w:val="22"/>
          <w:szCs w:val="22"/>
        </w:rPr>
        <w:t>Die Vereinbarung tritt mit dem Abschluss des Netznutzungs-/Lieferantenrahmenvertrag Strom, Lieferantenrahmenvertrag Gas, Messstellenbetreiberrahmen- oder Messstellenvertrag für moderne Messeinrichtungen und intelligente Messsysteme durch die Parteien in Kraft, soweit dies in dem jeweiligen Vertrag vorgesehen ist. Sollte die Vereinbarung für andere als die in Satz 1 genannten Verträge genutzt werden, tritt sie mit dem Datum der Unterzeichnung durch die Parteien in Kraft.</w:t>
      </w:r>
    </w:p>
    <w:p w14:paraId="007CC987" w14:textId="5A063C6F" w:rsidR="00EE12CC" w:rsidRPr="007B1CBA" w:rsidRDefault="00631D22" w:rsidP="00991092">
      <w:pPr>
        <w:spacing w:line="276" w:lineRule="auto"/>
        <w:ind w:left="703" w:hanging="703"/>
        <w:rPr>
          <w:rFonts w:eastAsia="Calibri" w:cs="Arial"/>
          <w:sz w:val="22"/>
          <w:szCs w:val="22"/>
          <w:lang w:eastAsia="en-US"/>
        </w:rPr>
      </w:pPr>
      <w:r>
        <w:rPr>
          <w:rFonts w:eastAsia="Calibri" w:cs="Arial"/>
          <w:sz w:val="22"/>
          <w:szCs w:val="22"/>
          <w:lang w:eastAsia="en-US"/>
        </w:rPr>
        <w:t>6</w:t>
      </w:r>
      <w:r w:rsidR="00EE12CC" w:rsidRPr="007B1CBA">
        <w:rPr>
          <w:rFonts w:eastAsia="Calibri" w:cs="Arial"/>
          <w:sz w:val="22"/>
          <w:szCs w:val="22"/>
          <w:lang w:eastAsia="en-US"/>
        </w:rPr>
        <w:t xml:space="preserve">.2 </w:t>
      </w:r>
      <w:r w:rsidR="00EE12CC" w:rsidRPr="007B1CBA">
        <w:rPr>
          <w:rFonts w:eastAsia="Calibri" w:cs="Arial"/>
          <w:sz w:val="22"/>
          <w:szCs w:val="22"/>
          <w:lang w:eastAsia="en-US"/>
        </w:rPr>
        <w:tab/>
      </w:r>
      <w:r w:rsidR="00EE12CC" w:rsidRPr="00991092">
        <w:rPr>
          <w:rFonts w:eastAsia="Calibri" w:cs="Arial"/>
          <w:b/>
          <w:bCs/>
          <w:sz w:val="22"/>
          <w:szCs w:val="22"/>
          <w:lang w:eastAsia="en-US"/>
        </w:rPr>
        <w:t>Änderungen</w:t>
      </w:r>
      <w:r w:rsidR="00991092" w:rsidRPr="00991092">
        <w:rPr>
          <w:rFonts w:eastAsia="Calibri" w:cs="Arial"/>
          <w:b/>
          <w:bCs/>
          <w:color w:val="000000"/>
          <w:sz w:val="22"/>
          <w:szCs w:val="22"/>
          <w:lang w:eastAsia="en-US"/>
        </w:rPr>
        <w:br/>
      </w:r>
      <w:r w:rsidR="00EE12CC" w:rsidRPr="007B1CBA">
        <w:rPr>
          <w:rFonts w:eastAsia="Calibri" w:cs="Arial"/>
          <w:sz w:val="22"/>
          <w:szCs w:val="22"/>
          <w:lang w:eastAsia="en-US"/>
        </w:rPr>
        <w:t xml:space="preserve">Bei Bedarf werden von den Parteien </w:t>
      </w:r>
      <w:r w:rsidR="00C829E5" w:rsidRPr="005E06E2">
        <w:rPr>
          <w:rFonts w:eastAsia="Calibri" w:cs="Arial"/>
          <w:sz w:val="22"/>
          <w:szCs w:val="22"/>
        </w:rPr>
        <w:t>in Textform</w:t>
      </w:r>
      <w:r w:rsidR="00C829E5" w:rsidRPr="005E06E2">
        <w:rPr>
          <w:rFonts w:eastAsia="Calibri" w:cs="Arial"/>
          <w:sz w:val="22"/>
          <w:szCs w:val="22"/>
          <w:lang w:eastAsia="en-US"/>
        </w:rPr>
        <w:t xml:space="preserve"> </w:t>
      </w:r>
      <w:r w:rsidR="00EE12CC" w:rsidRPr="005E06E2">
        <w:rPr>
          <w:rFonts w:eastAsia="Calibri" w:cs="Arial"/>
          <w:sz w:val="22"/>
          <w:szCs w:val="22"/>
          <w:lang w:eastAsia="en-US"/>
        </w:rPr>
        <w:t>vereinbarte</w:t>
      </w:r>
      <w:r w:rsidR="00EE12CC" w:rsidRPr="007B1CBA">
        <w:rPr>
          <w:rFonts w:eastAsia="Calibri" w:cs="Arial"/>
          <w:sz w:val="22"/>
          <w:szCs w:val="22"/>
          <w:lang w:eastAsia="en-US"/>
        </w:rPr>
        <w:t xml:space="preserve"> zusätzliche oder alternative Bestimmungen zu der Vereinbarung</w:t>
      </w:r>
      <w:r w:rsidR="00F76E7D">
        <w:rPr>
          <w:rFonts w:eastAsia="Calibri" w:cs="Arial"/>
          <w:sz w:val="22"/>
          <w:szCs w:val="22"/>
          <w:lang w:eastAsia="en-US"/>
        </w:rPr>
        <w:t xml:space="preserve"> </w:t>
      </w:r>
      <w:r w:rsidR="00F76E7D">
        <w:rPr>
          <w:sz w:val="22"/>
          <w:szCs w:val="22"/>
        </w:rPr>
        <w:t xml:space="preserve">ab dem Zeitpunkt ihrer Vereinbarung </w:t>
      </w:r>
      <w:r w:rsidR="00EE12CC" w:rsidRPr="007B1CBA">
        <w:rPr>
          <w:rFonts w:eastAsia="Calibri" w:cs="Arial"/>
          <w:sz w:val="22"/>
          <w:szCs w:val="22"/>
          <w:lang w:eastAsia="en-US"/>
        </w:rPr>
        <w:t>als Teil der Vereinbarung betrachtet.</w:t>
      </w:r>
      <w:r w:rsidR="00B537B7">
        <w:rPr>
          <w:rFonts w:eastAsia="Calibri" w:cs="Arial"/>
          <w:sz w:val="22"/>
          <w:szCs w:val="22"/>
          <w:lang w:eastAsia="en-US"/>
        </w:rPr>
        <w:br/>
      </w:r>
    </w:p>
    <w:p w14:paraId="49343139" w14:textId="22F76C47" w:rsidR="007B4420" w:rsidRPr="00252BA9" w:rsidRDefault="00B537B7" w:rsidP="00991092">
      <w:pPr>
        <w:autoSpaceDE w:val="0"/>
        <w:autoSpaceDN w:val="0"/>
        <w:adjustRightInd w:val="0"/>
        <w:ind w:left="703" w:hanging="703"/>
        <w:rPr>
          <w:rFonts w:eastAsia="Calibri" w:cs="Arial"/>
          <w:color w:val="000000"/>
          <w:sz w:val="22"/>
          <w:szCs w:val="22"/>
          <w:lang w:eastAsia="en-US"/>
        </w:rPr>
      </w:pPr>
      <w:r>
        <w:rPr>
          <w:rFonts w:eastAsia="Calibri" w:cs="Arial"/>
          <w:color w:val="000000"/>
          <w:sz w:val="22"/>
          <w:szCs w:val="22"/>
          <w:lang w:eastAsia="en-US"/>
        </w:rPr>
        <w:t>6.3</w:t>
      </w:r>
      <w:r>
        <w:rPr>
          <w:rFonts w:eastAsia="Calibri" w:cs="Arial"/>
          <w:color w:val="000000"/>
          <w:sz w:val="22"/>
          <w:szCs w:val="22"/>
          <w:lang w:eastAsia="en-US"/>
        </w:rPr>
        <w:tab/>
      </w:r>
      <w:r w:rsidR="007B4420" w:rsidRPr="00991092">
        <w:rPr>
          <w:rFonts w:eastAsia="Calibri" w:cs="Arial"/>
          <w:b/>
          <w:bCs/>
          <w:color w:val="000000"/>
          <w:sz w:val="22"/>
          <w:szCs w:val="22"/>
          <w:lang w:eastAsia="en-US"/>
        </w:rPr>
        <w:t>Dauer</w:t>
      </w:r>
      <w:r w:rsidR="007B4420">
        <w:rPr>
          <w:rFonts w:eastAsia="Calibri" w:cs="Arial"/>
          <w:color w:val="000000"/>
          <w:sz w:val="22"/>
          <w:szCs w:val="22"/>
          <w:lang w:eastAsia="en-US"/>
        </w:rPr>
        <w:br/>
      </w:r>
      <w:r w:rsidR="007B4420" w:rsidRPr="00252BA9">
        <w:rPr>
          <w:rFonts w:eastAsia="Calibri" w:cs="Arial"/>
          <w:color w:val="000000"/>
          <w:sz w:val="22"/>
          <w:szCs w:val="22"/>
          <w:lang w:eastAsia="en-US"/>
        </w:rPr>
        <w:t>Die Vereinbarung wird beendet, wenn zwischen den Parteien alle in Artikel 6.1 genannten Vertragsverhältnisse beendet sind. Ist die Vereinbarung nicht im Rahmen eines dieser Rechtsverhältnisse zustande gekommen, kann jede Partei die Vereinbarung mit einer Kündigungsfrist von einem Monat zum Ende eines Kalendermonats in Textform kündigen.</w:t>
      </w:r>
    </w:p>
    <w:p w14:paraId="3CF78660" w14:textId="7251281A" w:rsidR="00B537B7" w:rsidRPr="00252BA9" w:rsidRDefault="00B537B7" w:rsidP="007B4420">
      <w:pPr>
        <w:autoSpaceDE w:val="0"/>
        <w:autoSpaceDN w:val="0"/>
        <w:adjustRightInd w:val="0"/>
        <w:rPr>
          <w:rFonts w:eastAsia="Calibri" w:cs="Arial"/>
          <w:color w:val="000000"/>
          <w:sz w:val="22"/>
          <w:szCs w:val="22"/>
          <w:lang w:eastAsia="en-US"/>
        </w:rPr>
      </w:pPr>
    </w:p>
    <w:p w14:paraId="7EEADC8D" w14:textId="084928E1" w:rsidR="00B537B7" w:rsidRDefault="00631D22" w:rsidP="00AD6234">
      <w:pPr>
        <w:autoSpaceDE w:val="0"/>
        <w:autoSpaceDN w:val="0"/>
        <w:adjustRightInd w:val="0"/>
        <w:ind w:left="705"/>
        <w:rPr>
          <w:rFonts w:eastAsia="Calibri" w:cs="Arial"/>
          <w:color w:val="000000"/>
          <w:sz w:val="22"/>
          <w:szCs w:val="22"/>
          <w:lang w:eastAsia="en-US"/>
        </w:rPr>
      </w:pPr>
      <w:r w:rsidRPr="00631D22">
        <w:rPr>
          <w:rFonts w:eastAsia="Calibri" w:cs="Arial"/>
          <w:color w:val="000000"/>
          <w:sz w:val="22"/>
          <w:szCs w:val="22"/>
          <w:lang w:eastAsia="en-US"/>
        </w:rPr>
        <w:t xml:space="preserve">Ungeachtet einer Kündigung </w:t>
      </w:r>
      <w:r w:rsidR="007B4420">
        <w:rPr>
          <w:rFonts w:eastAsia="Calibri" w:cs="Arial"/>
          <w:color w:val="000000"/>
          <w:sz w:val="22"/>
          <w:szCs w:val="22"/>
          <w:lang w:eastAsia="en-US"/>
        </w:rPr>
        <w:t xml:space="preserve">oder Beendigung </w:t>
      </w:r>
      <w:r w:rsidRPr="00631D22">
        <w:rPr>
          <w:rFonts w:eastAsia="Calibri" w:cs="Arial"/>
          <w:color w:val="000000"/>
          <w:sz w:val="22"/>
          <w:szCs w:val="22"/>
          <w:lang w:eastAsia="en-US"/>
        </w:rPr>
        <w:t xml:space="preserve">bestehen die in den Artikeln </w:t>
      </w:r>
      <w:r w:rsidR="007B4420">
        <w:rPr>
          <w:rFonts w:eastAsia="Calibri" w:cs="Arial"/>
          <w:color w:val="000000"/>
          <w:sz w:val="22"/>
          <w:szCs w:val="22"/>
          <w:lang w:eastAsia="en-US"/>
        </w:rPr>
        <w:t>4</w:t>
      </w:r>
      <w:r w:rsidRPr="00631D22">
        <w:rPr>
          <w:rFonts w:eastAsia="Calibri" w:cs="Arial"/>
          <w:color w:val="000000"/>
          <w:sz w:val="22"/>
          <w:szCs w:val="22"/>
          <w:lang w:eastAsia="en-US"/>
        </w:rPr>
        <w:t xml:space="preserve"> und </w:t>
      </w:r>
      <w:r w:rsidR="007B4420">
        <w:rPr>
          <w:rFonts w:eastAsia="Calibri" w:cs="Arial"/>
          <w:color w:val="000000"/>
          <w:sz w:val="22"/>
          <w:szCs w:val="22"/>
          <w:lang w:eastAsia="en-US"/>
        </w:rPr>
        <w:t>5</w:t>
      </w:r>
      <w:r w:rsidR="007B4420" w:rsidRPr="00631D22">
        <w:rPr>
          <w:rFonts w:eastAsia="Calibri" w:cs="Arial"/>
          <w:color w:val="000000"/>
          <w:sz w:val="22"/>
          <w:szCs w:val="22"/>
          <w:lang w:eastAsia="en-US"/>
        </w:rPr>
        <w:t xml:space="preserve"> </w:t>
      </w:r>
      <w:r w:rsidRPr="00631D22">
        <w:rPr>
          <w:rFonts w:eastAsia="Calibri" w:cs="Arial"/>
          <w:color w:val="000000"/>
          <w:sz w:val="22"/>
          <w:szCs w:val="22"/>
          <w:lang w:eastAsia="en-US"/>
        </w:rPr>
        <w:t xml:space="preserve">genannten Rechte und Pflichten </w:t>
      </w:r>
      <w:r w:rsidR="007B4420" w:rsidRPr="00252BA9">
        <w:rPr>
          <w:rFonts w:eastAsia="Calibri" w:cs="Arial"/>
          <w:color w:val="000000"/>
          <w:sz w:val="22"/>
          <w:szCs w:val="22"/>
          <w:lang w:eastAsia="en-US"/>
        </w:rPr>
        <w:t xml:space="preserve">bis zur endgültigen Abwicklung oder zulässigen Vernichtung der Daten </w:t>
      </w:r>
      <w:r w:rsidRPr="005C5A89">
        <w:rPr>
          <w:rFonts w:eastAsia="Calibri" w:cs="Arial"/>
          <w:color w:val="000000"/>
          <w:sz w:val="22"/>
          <w:szCs w:val="22"/>
          <w:lang w:eastAsia="en-US"/>
        </w:rPr>
        <w:t>fort.</w:t>
      </w:r>
    </w:p>
    <w:p w14:paraId="3F31CA35" w14:textId="77777777" w:rsidR="00B537B7" w:rsidRPr="00631D22" w:rsidRDefault="00B537B7" w:rsidP="00991092">
      <w:pPr>
        <w:spacing w:line="276" w:lineRule="auto"/>
        <w:ind w:left="703" w:hanging="703"/>
        <w:rPr>
          <w:rFonts w:eastAsia="Calibri" w:cs="Arial"/>
          <w:color w:val="000000"/>
          <w:sz w:val="22"/>
          <w:szCs w:val="22"/>
          <w:lang w:eastAsia="en-US"/>
        </w:rPr>
      </w:pPr>
    </w:p>
    <w:p w14:paraId="53D10B28" w14:textId="2AD9E66E" w:rsidR="00EE12CC" w:rsidRPr="007B1CBA" w:rsidRDefault="00B537B7" w:rsidP="00991092">
      <w:pPr>
        <w:spacing w:after="200" w:line="276" w:lineRule="auto"/>
        <w:ind w:left="705" w:hanging="705"/>
        <w:rPr>
          <w:rFonts w:eastAsia="Calibri" w:cs="Arial"/>
          <w:sz w:val="22"/>
          <w:szCs w:val="22"/>
          <w:lang w:eastAsia="en-US"/>
        </w:rPr>
      </w:pPr>
      <w:r>
        <w:rPr>
          <w:rFonts w:eastAsia="Calibri" w:cs="Arial"/>
          <w:sz w:val="22"/>
          <w:szCs w:val="22"/>
          <w:lang w:eastAsia="en-US"/>
        </w:rPr>
        <w:t>6.4</w:t>
      </w:r>
      <w:r w:rsidR="00EE12CC" w:rsidRPr="007B1CBA">
        <w:rPr>
          <w:rFonts w:eastAsia="Calibri" w:cs="Arial"/>
          <w:sz w:val="22"/>
          <w:szCs w:val="22"/>
          <w:lang w:eastAsia="en-US"/>
        </w:rPr>
        <w:t xml:space="preserve"> </w:t>
      </w:r>
      <w:r w:rsidR="00EE12CC" w:rsidRPr="007B1CBA">
        <w:rPr>
          <w:rFonts w:eastAsia="Calibri" w:cs="Arial"/>
          <w:sz w:val="22"/>
          <w:szCs w:val="22"/>
          <w:lang w:eastAsia="en-US"/>
        </w:rPr>
        <w:tab/>
      </w:r>
      <w:r w:rsidR="00EE12CC" w:rsidRPr="00991092">
        <w:rPr>
          <w:rFonts w:eastAsia="Calibri" w:cs="Arial"/>
          <w:b/>
          <w:bCs/>
          <w:sz w:val="22"/>
          <w:szCs w:val="22"/>
          <w:lang w:eastAsia="en-US"/>
        </w:rPr>
        <w:t>Teilnichtigkeit</w:t>
      </w:r>
      <w:r w:rsidR="00991092" w:rsidRPr="00991092">
        <w:rPr>
          <w:rFonts w:eastAsia="Calibri" w:cs="Arial"/>
          <w:b/>
          <w:bCs/>
          <w:color w:val="000000"/>
          <w:sz w:val="22"/>
          <w:szCs w:val="22"/>
          <w:lang w:eastAsia="en-US"/>
        </w:rPr>
        <w:br/>
      </w:r>
      <w:proofErr w:type="gramStart"/>
      <w:r w:rsidR="00EE12CC" w:rsidRPr="007B1CBA">
        <w:rPr>
          <w:rFonts w:eastAsia="Calibri" w:cs="Arial"/>
          <w:sz w:val="22"/>
          <w:szCs w:val="22"/>
          <w:lang w:eastAsia="en-US"/>
        </w:rPr>
        <w:t>Sollte</w:t>
      </w:r>
      <w:proofErr w:type="gramEnd"/>
      <w:r w:rsidR="00EE12CC" w:rsidRPr="007B1CBA">
        <w:rPr>
          <w:rFonts w:eastAsia="Calibri" w:cs="Arial"/>
          <w:sz w:val="22"/>
          <w:szCs w:val="22"/>
          <w:lang w:eastAsia="en-US"/>
        </w:rPr>
        <w:t xml:space="preserve"> ein Artikel oder ein Teil eines Artikels der Vereinbarung als ungültig erachtet werden, bleiben alle übrigen Artikel vollständig in Kraft.</w:t>
      </w:r>
      <w:r>
        <w:br/>
      </w:r>
    </w:p>
    <w:p w14:paraId="15A5D5CD" w14:textId="77777777" w:rsidR="00EE12CC" w:rsidRPr="007B1CBA" w:rsidRDefault="00EE12CC" w:rsidP="00EE12CC">
      <w:pPr>
        <w:autoSpaceDE w:val="0"/>
        <w:autoSpaceDN w:val="0"/>
        <w:adjustRightInd w:val="0"/>
        <w:rPr>
          <w:rFonts w:eastAsia="Calibri" w:cs="Arial"/>
          <w:sz w:val="22"/>
          <w:szCs w:val="22"/>
          <w:lang w:eastAsia="en-US"/>
        </w:rPr>
      </w:pPr>
    </w:p>
    <w:p w14:paraId="1607CBE7" w14:textId="77777777" w:rsidR="00EE12CC" w:rsidRPr="007B1CBA" w:rsidRDefault="00EE12CC" w:rsidP="00EE12CC">
      <w:pPr>
        <w:autoSpaceDE w:val="0"/>
        <w:autoSpaceDN w:val="0"/>
        <w:adjustRightInd w:val="0"/>
        <w:rPr>
          <w:rFonts w:eastAsia="Calibri" w:cs="Arial"/>
          <w:sz w:val="22"/>
          <w:szCs w:val="22"/>
          <w:lang w:eastAsia="en-US"/>
        </w:rPr>
      </w:pPr>
    </w:p>
    <w:p w14:paraId="442619C3" w14:textId="77777777" w:rsidR="00EE12CC" w:rsidRPr="007B1CBA" w:rsidRDefault="00EE12CC" w:rsidP="00EE12CC">
      <w:pPr>
        <w:autoSpaceDE w:val="0"/>
        <w:autoSpaceDN w:val="0"/>
        <w:adjustRightInd w:val="0"/>
        <w:rPr>
          <w:rFonts w:eastAsia="Calibri" w:cs="Arial"/>
          <w:sz w:val="22"/>
          <w:szCs w:val="22"/>
          <w:lang w:eastAsia="en-US"/>
        </w:rPr>
      </w:pPr>
    </w:p>
    <w:p w14:paraId="04B71434" w14:textId="77777777" w:rsidR="00EE12CC" w:rsidRPr="007B1CBA" w:rsidRDefault="00EE12CC" w:rsidP="00EE12CC">
      <w:pPr>
        <w:autoSpaceDE w:val="0"/>
        <w:autoSpaceDN w:val="0"/>
        <w:adjustRightInd w:val="0"/>
        <w:rPr>
          <w:rFonts w:eastAsia="Calibri" w:cs="Arial"/>
          <w:sz w:val="22"/>
          <w:szCs w:val="22"/>
          <w:lang w:eastAsia="en-US"/>
        </w:rPr>
      </w:pPr>
    </w:p>
    <w:p w14:paraId="7E8EB181" w14:textId="77777777" w:rsidR="00EE12CC" w:rsidRPr="007B1CBA" w:rsidRDefault="00EE12CC" w:rsidP="00EE12CC">
      <w:pPr>
        <w:autoSpaceDE w:val="0"/>
        <w:autoSpaceDN w:val="0"/>
        <w:adjustRightInd w:val="0"/>
        <w:rPr>
          <w:rFonts w:eastAsia="Calibri" w:cs="Arial"/>
          <w:sz w:val="22"/>
          <w:szCs w:val="22"/>
          <w:lang w:eastAsia="en-US"/>
        </w:rPr>
      </w:pPr>
    </w:p>
    <w:p w14:paraId="433C9EEB" w14:textId="77777777" w:rsidR="00EE12CC" w:rsidRPr="007B1CBA" w:rsidRDefault="00EE12CC" w:rsidP="00EE12CC">
      <w:pPr>
        <w:autoSpaceDE w:val="0"/>
        <w:autoSpaceDN w:val="0"/>
        <w:adjustRightInd w:val="0"/>
        <w:rPr>
          <w:rFonts w:eastAsia="Calibri" w:cs="Arial"/>
          <w:color w:val="000000"/>
          <w:sz w:val="22"/>
          <w:szCs w:val="22"/>
          <w:lang w:eastAsia="en-US"/>
        </w:rPr>
      </w:pPr>
    </w:p>
    <w:p w14:paraId="3CBF1952" w14:textId="7EF2C5F0" w:rsidR="00F02D21" w:rsidRDefault="00EE12CC">
      <w:pPr>
        <w:autoSpaceDE w:val="0"/>
        <w:autoSpaceDN w:val="0"/>
        <w:adjustRightInd w:val="0"/>
        <w:rPr>
          <w:rFonts w:cs="Arial"/>
          <w:b/>
          <w:bCs/>
          <w:szCs w:val="22"/>
        </w:rPr>
      </w:pPr>
      <w:r w:rsidRPr="007B1CBA">
        <w:rPr>
          <w:rFonts w:eastAsia="Calibri" w:cs="Arial"/>
          <w:sz w:val="32"/>
          <w:szCs w:val="22"/>
          <w:lang w:eastAsia="en-US"/>
        </w:rPr>
        <w:br w:type="page"/>
      </w:r>
    </w:p>
    <w:p w14:paraId="1E8AC671" w14:textId="16748E8B" w:rsidR="007068CE" w:rsidRDefault="000A3F90" w:rsidP="006E261B">
      <w:pPr>
        <w:pStyle w:val="berschrift3"/>
        <w:rPr>
          <w:sz w:val="22"/>
          <w:szCs w:val="22"/>
        </w:rPr>
      </w:pPr>
      <w:bookmarkStart w:id="46" w:name="_Toc99480712"/>
      <w:r>
        <w:rPr>
          <w:sz w:val="22"/>
          <w:szCs w:val="22"/>
        </w:rPr>
        <w:t>Anlage 4: Ergänzende Geschäftsbedingungen</w:t>
      </w:r>
      <w:bookmarkEnd w:id="46"/>
    </w:p>
    <w:p w14:paraId="108D2A43" w14:textId="129B15EC" w:rsidR="00F90668" w:rsidRDefault="00F90668" w:rsidP="00F90668"/>
    <w:p w14:paraId="62A4C072" w14:textId="4BC46D2E" w:rsidR="00F90668" w:rsidRDefault="00F90668" w:rsidP="00F90668"/>
    <w:p w14:paraId="499D5EE5" w14:textId="77777777" w:rsidR="00F90668" w:rsidRPr="00F90668" w:rsidRDefault="00F90668" w:rsidP="00F90668"/>
    <w:p w14:paraId="64483FBA" w14:textId="2F0B5D9D" w:rsidR="007068CE" w:rsidRPr="007068CE" w:rsidRDefault="007068CE" w:rsidP="006E261B">
      <w:pPr>
        <w:pStyle w:val="berschrift3"/>
        <w:rPr>
          <w:b w:val="0"/>
          <w:bCs w:val="0"/>
          <w:sz w:val="22"/>
          <w:szCs w:val="22"/>
        </w:rPr>
      </w:pPr>
      <w:bookmarkStart w:id="47" w:name="_Toc99480713"/>
      <w:r w:rsidRPr="007068CE">
        <w:rPr>
          <w:sz w:val="22"/>
          <w:szCs w:val="22"/>
        </w:rPr>
        <w:t xml:space="preserve">Anlage </w:t>
      </w:r>
      <w:r w:rsidR="00222749">
        <w:rPr>
          <w:sz w:val="22"/>
          <w:szCs w:val="22"/>
        </w:rPr>
        <w:t>5</w:t>
      </w:r>
      <w:r w:rsidRPr="007068CE">
        <w:rPr>
          <w:sz w:val="22"/>
          <w:szCs w:val="22"/>
        </w:rPr>
        <w:t>: Standardlastprofilverfahren</w:t>
      </w:r>
      <w:bookmarkEnd w:id="47"/>
      <w:r w:rsidRPr="007068CE">
        <w:rPr>
          <w:sz w:val="22"/>
          <w:szCs w:val="22"/>
        </w:rPr>
        <w:t xml:space="preserve"> </w:t>
      </w:r>
    </w:p>
    <w:p w14:paraId="42C1BBCE" w14:textId="77777777" w:rsidR="007068CE" w:rsidRPr="007068CE" w:rsidRDefault="007068CE" w:rsidP="006E261B">
      <w:pPr>
        <w:rPr>
          <w:rFonts w:cs="Arial"/>
          <w:b/>
          <w:bCs/>
          <w:i/>
          <w:iCs/>
          <w:sz w:val="22"/>
          <w:szCs w:val="22"/>
        </w:rPr>
      </w:pPr>
      <w:bookmarkStart w:id="48" w:name="_Toc446241193"/>
      <w:bookmarkStart w:id="49" w:name="_Toc446244949"/>
      <w:r w:rsidRPr="007068CE">
        <w:rPr>
          <w:rFonts w:cs="Arial"/>
          <w:b/>
          <w:bCs/>
          <w:i/>
          <w:iCs/>
          <w:sz w:val="22"/>
          <w:szCs w:val="22"/>
        </w:rPr>
        <w:t>[Netzbetreiber-individuell zu erstellen]</w:t>
      </w:r>
      <w:bookmarkEnd w:id="48"/>
      <w:bookmarkEnd w:id="49"/>
    </w:p>
    <w:p w14:paraId="1D4EA3A2" w14:textId="77777777" w:rsidR="007068CE" w:rsidRPr="007068CE" w:rsidRDefault="007068CE" w:rsidP="006B29D0">
      <w:pPr>
        <w:autoSpaceDE w:val="0"/>
        <w:autoSpaceDN w:val="0"/>
        <w:adjustRightInd w:val="0"/>
        <w:spacing w:after="120" w:line="300" w:lineRule="atLeast"/>
        <w:rPr>
          <w:rFonts w:cs="Arial"/>
          <w:sz w:val="22"/>
          <w:szCs w:val="22"/>
        </w:rPr>
      </w:pP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[bzw. die von dem Netzbetreiber nach § 24 Abs. 2 GasNZV festgelegten Grenzen einfügen]</w:t>
      </w:r>
    </w:p>
    <w:p w14:paraId="6CE83080" w14:textId="77777777" w:rsidR="007068CE" w:rsidRPr="007068CE" w:rsidRDefault="007068CE" w:rsidP="006B29D0">
      <w:pPr>
        <w:autoSpaceDE w:val="0"/>
        <w:autoSpaceDN w:val="0"/>
        <w:adjustRightInd w:val="0"/>
        <w:spacing w:after="120" w:line="300" w:lineRule="atLeast"/>
        <w:rPr>
          <w:rFonts w:cs="Arial"/>
          <w:sz w:val="22"/>
          <w:szCs w:val="22"/>
        </w:rPr>
      </w:pPr>
    </w:p>
    <w:p w14:paraId="2299969D" w14:textId="77777777" w:rsidR="007068CE" w:rsidRPr="007068CE" w:rsidRDefault="007068CE" w:rsidP="006B29D0">
      <w:pPr>
        <w:rPr>
          <w:rFonts w:cs="Arial"/>
          <w:sz w:val="22"/>
          <w:szCs w:val="22"/>
        </w:rPr>
      </w:pPr>
      <w:r w:rsidRPr="007068CE">
        <w:rPr>
          <w:rFonts w:cs="Arial"/>
          <w:sz w:val="22"/>
          <w:szCs w:val="22"/>
        </w:rPr>
        <w:t xml:space="preserve">[synthetisches Verfahren:] </w:t>
      </w:r>
    </w:p>
    <w:p w14:paraId="7933BF1A" w14:textId="77777777" w:rsidR="007068CE" w:rsidRPr="007068CE" w:rsidRDefault="007068CE" w:rsidP="006B29D0">
      <w:pPr>
        <w:rPr>
          <w:rFonts w:cs="Arial"/>
          <w:sz w:val="22"/>
          <w:szCs w:val="22"/>
        </w:rPr>
      </w:pPr>
      <w:r w:rsidRPr="007068CE">
        <w:rPr>
          <w:rFonts w:cs="Arial"/>
          <w:sz w:val="22"/>
          <w:szCs w:val="22"/>
        </w:rPr>
        <w:t>Der Netzbetreiber wendet ein synthetisches Standardlastprofilverfahren an.</w:t>
      </w:r>
    </w:p>
    <w:p w14:paraId="51373FE1" w14:textId="77777777" w:rsidR="007068CE" w:rsidRPr="007068CE" w:rsidRDefault="007068CE" w:rsidP="006B29D0">
      <w:pPr>
        <w:spacing w:before="320"/>
        <w:rPr>
          <w:rFonts w:cs="Arial"/>
          <w:sz w:val="22"/>
          <w:szCs w:val="22"/>
        </w:rPr>
      </w:pPr>
    </w:p>
    <w:p w14:paraId="4F9A8942" w14:textId="77777777" w:rsidR="007068CE" w:rsidRPr="007068CE" w:rsidRDefault="007068CE" w:rsidP="006B29D0">
      <w:pPr>
        <w:rPr>
          <w:rFonts w:cs="Arial"/>
          <w:sz w:val="22"/>
          <w:szCs w:val="22"/>
        </w:rPr>
      </w:pPr>
      <w:r w:rsidRPr="007068CE">
        <w:rPr>
          <w:rFonts w:cs="Arial"/>
          <w:sz w:val="22"/>
          <w:szCs w:val="22"/>
        </w:rPr>
        <w:t xml:space="preserve">[analytisches Verfahren:] </w:t>
      </w:r>
    </w:p>
    <w:p w14:paraId="76907FBE" w14:textId="77777777" w:rsidR="007068CE" w:rsidRPr="007068CE" w:rsidRDefault="007068CE" w:rsidP="006B29D0">
      <w:pPr>
        <w:rPr>
          <w:rFonts w:cs="Arial"/>
          <w:sz w:val="22"/>
          <w:szCs w:val="22"/>
        </w:rPr>
      </w:pPr>
      <w:r w:rsidRPr="007068CE">
        <w:rPr>
          <w:rFonts w:cs="Arial"/>
          <w:sz w:val="22"/>
          <w:szCs w:val="22"/>
        </w:rPr>
        <w:t xml:space="preserve">Der Netzbetreiber wendet ein analytisches Standardlastprofilverfahren [mit/ohne] Optimierungsfaktoren an. </w:t>
      </w:r>
    </w:p>
    <w:p w14:paraId="208182E7" w14:textId="77777777" w:rsidR="007068CE" w:rsidRPr="007068CE" w:rsidRDefault="007068CE" w:rsidP="006B29D0">
      <w:pPr>
        <w:autoSpaceDE w:val="0"/>
        <w:autoSpaceDN w:val="0"/>
        <w:adjustRightInd w:val="0"/>
        <w:spacing w:after="120" w:line="300" w:lineRule="atLeast"/>
        <w:rPr>
          <w:rFonts w:cs="Arial"/>
          <w:sz w:val="22"/>
          <w:szCs w:val="22"/>
        </w:rPr>
      </w:pPr>
    </w:p>
    <w:p w14:paraId="23879A88" w14:textId="77777777" w:rsidR="00F34ED0" w:rsidRDefault="00F34ED0" w:rsidP="006B29D0">
      <w:pPr>
        <w:rPr>
          <w:rFonts w:cs="Arial"/>
          <w:sz w:val="22"/>
          <w:szCs w:val="22"/>
        </w:rPr>
      </w:pPr>
      <w:r>
        <w:rPr>
          <w:rFonts w:cs="Arial"/>
          <w:sz w:val="22"/>
          <w:szCs w:val="22"/>
        </w:rPr>
        <w:t>[sofern keine anwendungsspezifischen Parameter vom Netzbetreiber verwendet werden, entfällt der gesamte folgende Absatz inkl. Link zu den anwendungsspezifischen Parametern]</w:t>
      </w:r>
    </w:p>
    <w:p w14:paraId="2440193E" w14:textId="77777777" w:rsidR="00CA2CA5" w:rsidRPr="00B272FD" w:rsidRDefault="00CA2CA5" w:rsidP="006B29D0">
      <w:pPr>
        <w:rPr>
          <w:rFonts w:cs="Arial"/>
          <w:sz w:val="22"/>
          <w:szCs w:val="22"/>
        </w:rPr>
      </w:pPr>
      <w:r w:rsidRPr="00B272FD">
        <w:rPr>
          <w:rFonts w:cs="Arial"/>
          <w:sz w:val="22"/>
          <w:szCs w:val="22"/>
        </w:rPr>
        <w:t xml:space="preserve">[anwendungsspezifische Parameter, insbesondere zeitnah berücksichtigter Netzzustand:] </w:t>
      </w:r>
    </w:p>
    <w:p w14:paraId="4A151E17" w14:textId="77777777" w:rsidR="00CA2CA5" w:rsidRPr="006570C6" w:rsidRDefault="00CA2CA5" w:rsidP="006B29D0">
      <w:pPr>
        <w:pStyle w:val="StandardWeb"/>
        <w:spacing w:before="0" w:beforeAutospacing="0" w:after="0" w:afterAutospacing="0"/>
        <w:rPr>
          <w:rFonts w:ascii="Arial" w:hAnsi="Arial" w:cs="Arial"/>
          <w:sz w:val="22"/>
          <w:szCs w:val="22"/>
          <w:highlight w:val="yellow"/>
          <w:lang w:val="de-DE" w:eastAsia="de-DE"/>
        </w:rPr>
      </w:pP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Wendet ein Netzbetreiber anwendungsspezifische Parameter an, werden diese dem Transportkunden täglich an D-1 bis spätestens 12:00 Uhr per elektronische</w:t>
      </w:r>
      <w:r w:rsidR="003A574E">
        <w:rPr>
          <w:rFonts w:ascii="Arial" w:hAnsi="Arial" w:cs="Arial"/>
          <w:sz w:val="22"/>
          <w:szCs w:val="22"/>
          <w:lang w:val="de-DE" w:eastAsia="de-DE"/>
        </w:rPr>
        <w:t>m</w:t>
      </w:r>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p>
    <w:p w14:paraId="27302589" w14:textId="77777777" w:rsidR="00C827B3" w:rsidRPr="00595E4C" w:rsidRDefault="00C827B3" w:rsidP="006B29D0">
      <w:pPr>
        <w:autoSpaceDE w:val="0"/>
        <w:autoSpaceDN w:val="0"/>
        <w:adjustRightInd w:val="0"/>
        <w:spacing w:after="120" w:line="300" w:lineRule="atLeast"/>
        <w:rPr>
          <w:rFonts w:ascii="Times New Roman" w:eastAsiaTheme="minorHAnsi" w:hAnsi="Times New Roman"/>
          <w:sz w:val="22"/>
          <w:szCs w:val="22"/>
        </w:rPr>
      </w:pP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p>
    <w:p w14:paraId="7D1CAFB0" w14:textId="77777777" w:rsidR="00C827B3" w:rsidRPr="00595E4C" w:rsidRDefault="00C827B3" w:rsidP="006B29D0">
      <w:pPr>
        <w:rPr>
          <w:rFonts w:cs="Arial"/>
          <w:sz w:val="22"/>
          <w:szCs w:val="22"/>
        </w:rPr>
      </w:pPr>
      <w:r w:rsidRPr="00595E4C">
        <w:rPr>
          <w:rFonts w:cs="Arial"/>
          <w:sz w:val="22"/>
          <w:szCs w:val="22"/>
        </w:rPr>
        <w:t>XXX (URL): [Excel-Datei anwendungsspezifische Parameter des SLP-Verfahrens]</w:t>
      </w:r>
    </w:p>
    <w:p w14:paraId="508CF89C" w14:textId="77777777" w:rsidR="005B024B" w:rsidRDefault="005B024B" w:rsidP="006B29D0">
      <w:pPr>
        <w:rPr>
          <w:rFonts w:cs="Arial"/>
          <w:sz w:val="22"/>
          <w:szCs w:val="22"/>
        </w:rPr>
      </w:pPr>
    </w:p>
    <w:p w14:paraId="4B2A544F" w14:textId="77777777" w:rsidR="007068CE" w:rsidRPr="007068CE" w:rsidRDefault="007068CE" w:rsidP="006B29D0">
      <w:pPr>
        <w:rPr>
          <w:rFonts w:cs="Arial"/>
          <w:sz w:val="22"/>
          <w:szCs w:val="22"/>
        </w:rPr>
      </w:pPr>
      <w:r w:rsidRPr="007068CE">
        <w:rPr>
          <w:rFonts w:cs="Arial"/>
          <w:sz w:val="22"/>
          <w:szCs w:val="22"/>
        </w:rPr>
        <w:t xml:space="preserve">verfahrensspezifische Parameter: </w:t>
      </w:r>
    </w:p>
    <w:p w14:paraId="31F13A29" w14:textId="77777777" w:rsidR="007068CE" w:rsidRPr="007068CE" w:rsidRDefault="007068CE" w:rsidP="006B29D0">
      <w:pPr>
        <w:rPr>
          <w:rFonts w:cs="Arial"/>
          <w:sz w:val="22"/>
          <w:szCs w:val="22"/>
        </w:rPr>
      </w:pPr>
      <w:r w:rsidRPr="007068CE">
        <w:rPr>
          <w:rFonts w:cs="Arial"/>
          <w:sz w:val="22"/>
          <w:szCs w:val="22"/>
        </w:rPr>
        <w:t>Informationen über das verwendete Standardlastprofilverfahren des Netzbetreibers, sowie die verfahrensspezifischen Parameter sind unter folgendem Link veröffentlicht:</w:t>
      </w:r>
    </w:p>
    <w:p w14:paraId="0E50FA1C" w14:textId="77777777" w:rsidR="00EC0BBB" w:rsidRDefault="00EC0BBB" w:rsidP="006B29D0">
      <w:pPr>
        <w:rPr>
          <w:rFonts w:cs="Arial"/>
          <w:sz w:val="22"/>
          <w:szCs w:val="22"/>
        </w:rPr>
      </w:pPr>
    </w:p>
    <w:p w14:paraId="5397B506" w14:textId="77777777" w:rsidR="007068CE" w:rsidRDefault="007068CE" w:rsidP="006B29D0">
      <w:pPr>
        <w:rPr>
          <w:b/>
        </w:rPr>
      </w:pPr>
      <w:r w:rsidRPr="007068CE">
        <w:rPr>
          <w:rFonts w:cs="Arial"/>
          <w:sz w:val="22"/>
          <w:szCs w:val="22"/>
        </w:rPr>
        <w:t>XXX (URL) [Excel-Datei verfahrensspezifische Parameter des SLP-Verfahrens]</w:t>
      </w:r>
    </w:p>
    <w:p w14:paraId="7E089180" w14:textId="77777777" w:rsidR="007068CE" w:rsidRDefault="007068CE" w:rsidP="006B29D0">
      <w:pPr>
        <w:rPr>
          <w:b/>
        </w:rPr>
      </w:pPr>
    </w:p>
    <w:p w14:paraId="29C2D20A" w14:textId="77777777" w:rsidR="007068CE" w:rsidRDefault="007068CE" w:rsidP="006B29D0">
      <w:pPr>
        <w:rPr>
          <w:b/>
        </w:rPr>
      </w:pPr>
    </w:p>
    <w:p w14:paraId="32008AE6" w14:textId="77777777" w:rsidR="007B1046" w:rsidRDefault="007B1046" w:rsidP="006B29D0">
      <w:pPr>
        <w:rPr>
          <w:rFonts w:cs="Arial"/>
          <w:sz w:val="22"/>
          <w:szCs w:val="22"/>
          <w:highlight w:val="yellow"/>
        </w:rPr>
      </w:pPr>
      <w:r>
        <w:rPr>
          <w:rFonts w:cs="Arial"/>
          <w:sz w:val="22"/>
          <w:szCs w:val="22"/>
          <w:highlight w:val="yellow"/>
        </w:rPr>
        <w:br w:type="page"/>
      </w:r>
    </w:p>
    <w:p w14:paraId="59DD550C" w14:textId="621319C3" w:rsidR="00E00EAC" w:rsidRPr="006E261B" w:rsidRDefault="00E00EAC" w:rsidP="006E261B">
      <w:pPr>
        <w:pStyle w:val="berschrift3"/>
        <w:rPr>
          <w:b w:val="0"/>
          <w:sz w:val="22"/>
        </w:rPr>
      </w:pPr>
      <w:bookmarkStart w:id="50" w:name="_Toc99480714"/>
      <w:r w:rsidRPr="006E261B">
        <w:rPr>
          <w:sz w:val="22"/>
        </w:rPr>
        <w:t xml:space="preserve">Anlage </w:t>
      </w:r>
      <w:r w:rsidR="0028713E" w:rsidRPr="006E261B">
        <w:rPr>
          <w:sz w:val="22"/>
        </w:rPr>
        <w:t>6</w:t>
      </w:r>
      <w:r w:rsidRPr="006E261B">
        <w:rPr>
          <w:sz w:val="22"/>
        </w:rPr>
        <w:t>: § 18 NDAV</w:t>
      </w:r>
      <w:bookmarkEnd w:id="50"/>
    </w:p>
    <w:p w14:paraId="1B148FBE" w14:textId="77777777" w:rsidR="007B1046" w:rsidRDefault="007B1046" w:rsidP="006B29D0">
      <w:pPr>
        <w:rPr>
          <w:b/>
        </w:rPr>
      </w:pPr>
    </w:p>
    <w:p w14:paraId="7EDB3274" w14:textId="3B13CD3A" w:rsidR="006E261B" w:rsidRDefault="006E261B" w:rsidP="006B29D0">
      <w:pPr>
        <w:rPr>
          <w:b/>
        </w:rPr>
      </w:pPr>
    </w:p>
    <w:p w14:paraId="01B4F5FA" w14:textId="77777777" w:rsidR="00F90668" w:rsidRDefault="00F90668" w:rsidP="006B29D0">
      <w:pPr>
        <w:rPr>
          <w:b/>
        </w:rPr>
      </w:pPr>
    </w:p>
    <w:p w14:paraId="3A2B8274" w14:textId="11D043DB" w:rsidR="00B92D65" w:rsidRPr="006E261B" w:rsidRDefault="00B92D65" w:rsidP="006E261B">
      <w:pPr>
        <w:pStyle w:val="berschrift3"/>
        <w:rPr>
          <w:b w:val="0"/>
          <w:sz w:val="22"/>
        </w:rPr>
      </w:pPr>
      <w:bookmarkStart w:id="51" w:name="_Toc99480715"/>
      <w:r w:rsidRPr="006E261B">
        <w:rPr>
          <w:sz w:val="22"/>
        </w:rPr>
        <w:t xml:space="preserve">Anlage </w:t>
      </w:r>
      <w:r w:rsidR="0028713E" w:rsidRPr="006E261B">
        <w:rPr>
          <w:sz w:val="22"/>
        </w:rPr>
        <w:t>7</w:t>
      </w:r>
      <w:r w:rsidRPr="006E261B">
        <w:rPr>
          <w:sz w:val="22"/>
        </w:rPr>
        <w:t>: Begriffsbestimmungen</w:t>
      </w:r>
      <w:bookmarkEnd w:id="51"/>
    </w:p>
    <w:p w14:paraId="32386ECA" w14:textId="6D50B9FA" w:rsidR="00B92D65" w:rsidRPr="0084045B" w:rsidRDefault="00B92D65" w:rsidP="006B29D0">
      <w:pPr>
        <w:numPr>
          <w:ilvl w:val="0"/>
          <w:numId w:val="52"/>
        </w:numPr>
        <w:spacing w:after="120" w:line="300" w:lineRule="atLeast"/>
      </w:pPr>
      <w:r w:rsidRPr="00F90668">
        <w:rPr>
          <w:b/>
          <w:bCs/>
        </w:rPr>
        <w:t>Anschlussnutzer</w:t>
      </w:r>
      <w:r w:rsidRPr="0084045B">
        <w:br/>
      </w:r>
      <w:r w:rsidR="007B4420">
        <w:t>N</w:t>
      </w:r>
      <w:r w:rsidRPr="0084045B">
        <w:t>ach § 1 Abs</w:t>
      </w:r>
      <w:r w:rsidR="007B4420">
        <w:t>atz</w:t>
      </w:r>
      <w:r w:rsidRPr="0084045B">
        <w:t xml:space="preserve"> 3 NDAV, gilt entsprechend für Mittel- und Hochdrucknetz.</w:t>
      </w:r>
    </w:p>
    <w:p w14:paraId="39FEFC45" w14:textId="4CFBAFB2" w:rsidR="00B92D65" w:rsidRPr="0084045B" w:rsidRDefault="00B92D65" w:rsidP="006B29D0">
      <w:pPr>
        <w:numPr>
          <w:ilvl w:val="0"/>
          <w:numId w:val="52"/>
        </w:numPr>
        <w:spacing w:after="120" w:line="300" w:lineRule="atLeast"/>
      </w:pPr>
      <w:r w:rsidRPr="00F90668">
        <w:rPr>
          <w:b/>
          <w:bCs/>
        </w:rPr>
        <w:t>Ausspeisenetzbetreiber</w:t>
      </w:r>
      <w:r w:rsidRPr="0084045B">
        <w:br/>
        <w:t>Netzbetreiber, mit dem der Transportkunde nach § 3 Abs</w:t>
      </w:r>
      <w:r w:rsidR="007B4420">
        <w:t>atz</w:t>
      </w:r>
      <w:r w:rsidRPr="0084045B">
        <w:t xml:space="preserve"> 1 Satz 1 GasNZV einen Ausspeisevertrag, auch in Form eines Lieferantenrahmenvertrages, abschließt. </w:t>
      </w:r>
    </w:p>
    <w:p w14:paraId="0620C873" w14:textId="097EFACA" w:rsidR="00B92D65" w:rsidRPr="0084045B" w:rsidRDefault="00B92D65" w:rsidP="006B29D0">
      <w:pPr>
        <w:numPr>
          <w:ilvl w:val="0"/>
          <w:numId w:val="52"/>
        </w:numPr>
        <w:spacing w:after="120" w:line="300" w:lineRule="atLeast"/>
      </w:pPr>
      <w:r w:rsidRPr="00F90668">
        <w:rPr>
          <w:b/>
          <w:bCs/>
        </w:rPr>
        <w:t>Ausspeisepunkt</w:t>
      </w:r>
      <w:r w:rsidRPr="0084045B">
        <w:br/>
        <w:t xml:space="preserve">Ein Punkt innerhalb </w:t>
      </w:r>
      <w:r w:rsidR="007B4420">
        <w:t>d</w:t>
      </w:r>
      <w:r w:rsidR="007B4420" w:rsidRPr="0084045B">
        <w:t xml:space="preserve">es </w:t>
      </w:r>
      <w:r w:rsidRPr="0084045B">
        <w:t>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 11 Abs</w:t>
      </w:r>
      <w:r w:rsidR="007B4420">
        <w:t>atz</w:t>
      </w:r>
      <w:r w:rsidRPr="0084045B">
        <w:t xml:space="preserve"> 2 GasNZV.</w:t>
      </w:r>
    </w:p>
    <w:p w14:paraId="32B68E0A" w14:textId="77777777" w:rsidR="00B92D65" w:rsidRPr="0084045B" w:rsidRDefault="00B92D65" w:rsidP="006B29D0">
      <w:pPr>
        <w:numPr>
          <w:ilvl w:val="0"/>
          <w:numId w:val="52"/>
        </w:numPr>
        <w:spacing w:after="120" w:line="300" w:lineRule="atLeast"/>
      </w:pPr>
      <w:r w:rsidRPr="00F90668">
        <w:rPr>
          <w:b/>
          <w:bCs/>
        </w:rPr>
        <w:t>Bilanzierungsbrennwert</w:t>
      </w:r>
      <w:r w:rsidRPr="00F90668">
        <w:rPr>
          <w:b/>
          <w:bCs/>
        </w:rPr>
        <w:br/>
      </w:r>
      <w:r w:rsidRPr="0084045B">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2073DA32" w14:textId="77777777" w:rsidR="00B92D65" w:rsidRPr="0084045B" w:rsidRDefault="00B92D65" w:rsidP="006B29D0">
      <w:pPr>
        <w:numPr>
          <w:ilvl w:val="0"/>
          <w:numId w:val="52"/>
        </w:numPr>
        <w:spacing w:after="120" w:line="300" w:lineRule="atLeast"/>
      </w:pPr>
      <w:r w:rsidRPr="00F90668">
        <w:rPr>
          <w:b/>
          <w:bCs/>
        </w:rPr>
        <w:t>Bilanzkreisnummer</w:t>
      </w:r>
      <w:r w:rsidRPr="00F90668">
        <w:rPr>
          <w:b/>
          <w:bCs/>
        </w:rPr>
        <w:br/>
      </w:r>
      <w:r w:rsidRPr="0084045B">
        <w:t>Eindeutige Nummer, die von dem Marktgebietsverantwortlichen an einen Bilanzkreisverantwortlichen für einen Bilanzkreis vergeben wird und insbesondere der Identifizierung der Nominierungen oder Renominierungen von Gasmengen dient.</w:t>
      </w:r>
    </w:p>
    <w:p w14:paraId="1AD16EEF" w14:textId="77777777" w:rsidR="00B92D65" w:rsidRPr="0084045B" w:rsidRDefault="00B92D65" w:rsidP="006B29D0">
      <w:pPr>
        <w:numPr>
          <w:ilvl w:val="0"/>
          <w:numId w:val="52"/>
        </w:numPr>
        <w:spacing w:after="120" w:line="300" w:lineRule="atLeast"/>
      </w:pPr>
      <w:r w:rsidRPr="00F90668">
        <w:rPr>
          <w:b/>
          <w:bCs/>
        </w:rPr>
        <w:t>GeLi Gas</w:t>
      </w:r>
      <w:r w:rsidRPr="00F90668">
        <w:rPr>
          <w:b/>
          <w:bCs/>
        </w:rPr>
        <w:br/>
      </w:r>
      <w:r w:rsidRPr="0084045B">
        <w:t xml:space="preserve">Festlegung einheitlicher Geschäftsprozesse und Datenformate der Bundesnetzagentur (Az. BK7-06-067) vom 20. August 2007 oder einer diese Festlegung ersetzende oder ergänzende Festlegung der Bundesnetzagentur. </w:t>
      </w:r>
    </w:p>
    <w:p w14:paraId="6F997760" w14:textId="5DB27764" w:rsidR="00B92D65" w:rsidRPr="0084045B" w:rsidRDefault="00844471" w:rsidP="006B29D0">
      <w:pPr>
        <w:numPr>
          <w:ilvl w:val="0"/>
          <w:numId w:val="52"/>
        </w:numPr>
        <w:spacing w:after="120" w:line="300" w:lineRule="atLeast"/>
      </w:pPr>
      <w:r w:rsidRPr="00F90668">
        <w:rPr>
          <w:b/>
          <w:bCs/>
          <w:iCs/>
        </w:rPr>
        <w:t>Liefermonat</w:t>
      </w:r>
      <w:r w:rsidR="00B92D65" w:rsidRPr="00F90668">
        <w:rPr>
          <w:b/>
          <w:bCs/>
        </w:rPr>
        <w:br/>
      </w:r>
      <w:r>
        <w:t xml:space="preserve">Der Liefermonat </w:t>
      </w:r>
      <w:r w:rsidR="00B92D65" w:rsidRPr="0084045B">
        <w:t xml:space="preserve">ist der </w:t>
      </w:r>
      <w:r>
        <w:t>Monat M</w:t>
      </w:r>
      <w:r w:rsidR="00B92D65" w:rsidRPr="0084045B">
        <w:t xml:space="preserve">. </w:t>
      </w:r>
      <w:r w:rsidR="00B92D65"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sidR="00B92D65">
        <w:rPr>
          <w:bCs/>
        </w:rPr>
        <w:t xml:space="preserve"> Uhr</w:t>
      </w:r>
      <w:r w:rsidR="00B92D65" w:rsidRPr="0084045B">
        <w:rPr>
          <w:bCs/>
        </w:rPr>
        <w:t xml:space="preserve"> des Folgetages.</w:t>
      </w:r>
    </w:p>
    <w:p w14:paraId="6D8592B0" w14:textId="77777777" w:rsidR="00ED02EE" w:rsidRDefault="00B92D65" w:rsidP="006B29D0">
      <w:pPr>
        <w:numPr>
          <w:ilvl w:val="0"/>
          <w:numId w:val="52"/>
        </w:numPr>
        <w:spacing w:after="120" w:line="300" w:lineRule="atLeast"/>
      </w:pPr>
      <w:r w:rsidRPr="00F90668">
        <w:rPr>
          <w:b/>
          <w:bCs/>
        </w:rPr>
        <w:t>Sub-Bilanzkonto</w:t>
      </w:r>
      <w:r w:rsidRPr="0084045B">
        <w:br/>
        <w:t>Das Sub-Bilanzkonto ist ein Konto, das einem Bilanzkreis zugeordnet ist und die Zuordnung von Ein- und Ausspeisemengen zu Transportkunden und/oder die übersichtliche Darstellung von Teilmengen ermöglicht.</w:t>
      </w:r>
    </w:p>
    <w:p w14:paraId="54926F24" w14:textId="77777777" w:rsidR="009D527B" w:rsidRPr="00566E34" w:rsidRDefault="00B92D65" w:rsidP="00566E34">
      <w:pPr>
        <w:numPr>
          <w:ilvl w:val="0"/>
          <w:numId w:val="52"/>
        </w:numPr>
        <w:spacing w:after="120" w:line="300" w:lineRule="atLeast"/>
        <w:rPr>
          <w:rFonts w:cs="Arial"/>
          <w:sz w:val="22"/>
          <w:szCs w:val="22"/>
        </w:rPr>
      </w:pPr>
      <w:r w:rsidRPr="00F90668">
        <w:rPr>
          <w:b/>
          <w:bCs/>
        </w:rPr>
        <w:t>Werktage</w:t>
      </w:r>
      <w:r w:rsidRPr="00F90668">
        <w:rPr>
          <w:b/>
          <w:bCs/>
        </w:rPr>
        <w:br/>
      </w:r>
      <w:proofErr w:type="gramStart"/>
      <w:r w:rsidRPr="0084045B">
        <w:t>Abweichend</w:t>
      </w:r>
      <w:proofErr w:type="gramEnd"/>
      <w:r w:rsidRPr="0084045B">
        <w:t xml:space="preserve">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9D527B" w:rsidRPr="00566E34" w:rsidSect="00B22233">
      <w:headerReference w:type="default" r:id="rId8"/>
      <w:footerReference w:type="even" r:id="rId9"/>
      <w:footerReference w:type="default" r:id="rId10"/>
      <w:footerReference w:type="first" r:id="rId11"/>
      <w:pgSz w:w="11906" w:h="16838"/>
      <w:pgMar w:top="1417" w:right="1417" w:bottom="1134"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DE13" w14:textId="77777777" w:rsidR="002E687C" w:rsidRDefault="002E687C">
      <w:r>
        <w:separator/>
      </w:r>
    </w:p>
  </w:endnote>
  <w:endnote w:type="continuationSeparator" w:id="0">
    <w:p w14:paraId="366C1F68" w14:textId="77777777" w:rsidR="002E687C" w:rsidRDefault="002E687C">
      <w:r>
        <w:continuationSeparator/>
      </w:r>
    </w:p>
  </w:endnote>
  <w:endnote w:type="continuationNotice" w:id="1">
    <w:p w14:paraId="5AC8DA4C" w14:textId="77777777" w:rsidR="002E687C" w:rsidRDefault="002E6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FC3A" w14:textId="77777777" w:rsidR="00D904F3" w:rsidRDefault="00D904F3" w:rsidP="00C120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06F43269" w14:textId="77777777" w:rsidR="00D904F3" w:rsidRDefault="00D904F3"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5CB0" w14:textId="3B411730" w:rsidR="00D904F3" w:rsidRPr="00EE308E" w:rsidRDefault="00D904F3" w:rsidP="001D2DF6">
    <w:pPr>
      <w:pStyle w:val="Fuzeile"/>
      <w:rPr>
        <w:sz w:val="14"/>
        <w:szCs w:val="14"/>
      </w:rPr>
    </w:pPr>
    <w:r w:rsidRPr="00EE308E">
      <w:rPr>
        <w:rFonts w:cs="Arial"/>
        <w:sz w:val="14"/>
        <w:szCs w:val="14"/>
      </w:rPr>
      <w:t>Anlage 3 Kooperationsvereinbarung Gas, Stand</w:t>
    </w:r>
    <w:r>
      <w:rPr>
        <w:rFonts w:cs="Arial"/>
        <w:sz w:val="14"/>
        <w:szCs w:val="14"/>
      </w:rPr>
      <w:t xml:space="preserve"> 31.03.2022                                                                                                       </w:t>
    </w:r>
    <w:r w:rsidRPr="00EE308E">
      <w:rPr>
        <w:sz w:val="14"/>
        <w:szCs w:val="14"/>
      </w:rPr>
      <w:t xml:space="preserve">Seite </w:t>
    </w:r>
    <w:r w:rsidRPr="00EE308E">
      <w:rPr>
        <w:sz w:val="14"/>
        <w:szCs w:val="14"/>
      </w:rPr>
      <w:fldChar w:fldCharType="begin"/>
    </w:r>
    <w:r w:rsidRPr="00EE308E">
      <w:rPr>
        <w:sz w:val="14"/>
        <w:szCs w:val="14"/>
      </w:rPr>
      <w:instrText>PAGE</w:instrText>
    </w:r>
    <w:r w:rsidRPr="00EE308E">
      <w:rPr>
        <w:sz w:val="14"/>
        <w:szCs w:val="14"/>
      </w:rPr>
      <w:fldChar w:fldCharType="separate"/>
    </w:r>
    <w:r>
      <w:rPr>
        <w:noProof/>
        <w:sz w:val="14"/>
        <w:szCs w:val="14"/>
      </w:rPr>
      <w:t>32</w:t>
    </w:r>
    <w:r w:rsidRPr="00EE308E">
      <w:rPr>
        <w:sz w:val="14"/>
        <w:szCs w:val="14"/>
      </w:rPr>
      <w:fldChar w:fldCharType="end"/>
    </w:r>
    <w:r w:rsidRPr="00EE308E">
      <w:rPr>
        <w:sz w:val="14"/>
        <w:szCs w:val="14"/>
      </w:rPr>
      <w:t xml:space="preserve"> von </w:t>
    </w:r>
    <w:r w:rsidRPr="00EE308E">
      <w:rPr>
        <w:sz w:val="14"/>
        <w:szCs w:val="14"/>
      </w:rPr>
      <w:fldChar w:fldCharType="begin"/>
    </w:r>
    <w:r w:rsidRPr="00EE308E">
      <w:rPr>
        <w:sz w:val="14"/>
        <w:szCs w:val="14"/>
      </w:rPr>
      <w:instrText>NUMPAGES</w:instrText>
    </w:r>
    <w:r w:rsidRPr="00EE308E">
      <w:rPr>
        <w:sz w:val="14"/>
        <w:szCs w:val="14"/>
      </w:rPr>
      <w:fldChar w:fldCharType="separate"/>
    </w:r>
    <w:r>
      <w:rPr>
        <w:noProof/>
        <w:sz w:val="14"/>
        <w:szCs w:val="14"/>
      </w:rPr>
      <w:t>32</w:t>
    </w:r>
    <w:r w:rsidRPr="00EE308E">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258" w14:textId="4B2366F3" w:rsidR="00D904F3" w:rsidRPr="00EE308E" w:rsidRDefault="00D904F3" w:rsidP="00F35709">
    <w:pPr>
      <w:pStyle w:val="Fuzeile"/>
      <w:rPr>
        <w:sz w:val="14"/>
        <w:szCs w:val="14"/>
      </w:rPr>
    </w:pPr>
    <w:r w:rsidRPr="00EE308E">
      <w:rPr>
        <w:rFonts w:cs="Arial"/>
        <w:sz w:val="14"/>
        <w:szCs w:val="14"/>
      </w:rPr>
      <w:t>Anlage 3 Kooperationsvereinbarung Gas, Stand</w:t>
    </w:r>
    <w:r>
      <w:rPr>
        <w:rFonts w:cs="Arial"/>
        <w:sz w:val="14"/>
        <w:szCs w:val="14"/>
      </w:rPr>
      <w:t xml:space="preserve"> 31.03.2022</w:t>
    </w:r>
    <w:r w:rsidRPr="00EE308E">
      <w:rPr>
        <w:rFonts w:cs="Arial"/>
        <w:sz w:val="14"/>
        <w:szCs w:val="14"/>
      </w:rPr>
      <w:tab/>
    </w:r>
    <w:r>
      <w:rPr>
        <w:rFonts w:cs="Arial"/>
        <w:sz w:val="14"/>
        <w:szCs w:val="14"/>
      </w:rPr>
      <w:tab/>
    </w:r>
    <w:r w:rsidRPr="00EE308E">
      <w:rPr>
        <w:sz w:val="14"/>
        <w:szCs w:val="14"/>
      </w:rPr>
      <w:t xml:space="preserve">Seite </w:t>
    </w:r>
    <w:r w:rsidRPr="00EE308E">
      <w:rPr>
        <w:sz w:val="14"/>
        <w:szCs w:val="14"/>
      </w:rPr>
      <w:fldChar w:fldCharType="begin"/>
    </w:r>
    <w:r w:rsidRPr="00EE308E">
      <w:rPr>
        <w:sz w:val="14"/>
        <w:szCs w:val="14"/>
      </w:rPr>
      <w:instrText>PAGE</w:instrText>
    </w:r>
    <w:r w:rsidRPr="00EE308E">
      <w:rPr>
        <w:sz w:val="14"/>
        <w:szCs w:val="14"/>
      </w:rPr>
      <w:fldChar w:fldCharType="separate"/>
    </w:r>
    <w:r>
      <w:rPr>
        <w:noProof/>
        <w:sz w:val="14"/>
        <w:szCs w:val="14"/>
      </w:rPr>
      <w:t>1</w:t>
    </w:r>
    <w:r w:rsidRPr="00EE308E">
      <w:rPr>
        <w:sz w:val="14"/>
        <w:szCs w:val="14"/>
      </w:rPr>
      <w:fldChar w:fldCharType="end"/>
    </w:r>
    <w:r w:rsidRPr="00EE308E">
      <w:rPr>
        <w:sz w:val="14"/>
        <w:szCs w:val="14"/>
      </w:rPr>
      <w:t xml:space="preserve"> von </w:t>
    </w:r>
    <w:r w:rsidRPr="00EE308E">
      <w:rPr>
        <w:sz w:val="14"/>
        <w:szCs w:val="14"/>
      </w:rPr>
      <w:fldChar w:fldCharType="begin"/>
    </w:r>
    <w:r w:rsidRPr="00EE308E">
      <w:rPr>
        <w:sz w:val="14"/>
        <w:szCs w:val="14"/>
      </w:rPr>
      <w:instrText>NUMPAGES</w:instrText>
    </w:r>
    <w:r w:rsidRPr="00EE308E">
      <w:rPr>
        <w:sz w:val="14"/>
        <w:szCs w:val="14"/>
      </w:rPr>
      <w:fldChar w:fldCharType="separate"/>
    </w:r>
    <w:r>
      <w:rPr>
        <w:noProof/>
        <w:sz w:val="14"/>
        <w:szCs w:val="14"/>
      </w:rPr>
      <w:t>1</w:t>
    </w:r>
    <w:r w:rsidRPr="00EE308E">
      <w:rPr>
        <w:sz w:val="14"/>
        <w:szCs w:val="14"/>
      </w:rPr>
      <w:fldChar w:fldCharType="end"/>
    </w:r>
  </w:p>
  <w:p w14:paraId="14203161" w14:textId="77777777" w:rsidR="00D904F3" w:rsidRDefault="00D90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079E" w14:textId="77777777" w:rsidR="002E687C" w:rsidRDefault="002E687C">
      <w:r>
        <w:separator/>
      </w:r>
    </w:p>
  </w:footnote>
  <w:footnote w:type="continuationSeparator" w:id="0">
    <w:p w14:paraId="45071402" w14:textId="77777777" w:rsidR="002E687C" w:rsidRDefault="002E687C">
      <w:r>
        <w:continuationSeparator/>
      </w:r>
    </w:p>
  </w:footnote>
  <w:footnote w:type="continuationNotice" w:id="1">
    <w:p w14:paraId="396A5F29" w14:textId="77777777" w:rsidR="002E687C" w:rsidRDefault="002E6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2AC3" w14:textId="77777777" w:rsidR="00D904F3" w:rsidRPr="00EE308E" w:rsidRDefault="00D904F3">
    <w:pPr>
      <w:pStyle w:val="Kopfzeile"/>
      <w:rPr>
        <w:b/>
        <w:sz w:val="22"/>
        <w:szCs w:val="22"/>
      </w:rPr>
    </w:pPr>
    <w:r w:rsidRPr="00EE308E">
      <w:rPr>
        <w:b/>
        <w:sz w:val="22"/>
        <w:szCs w:val="22"/>
      </w:rPr>
      <w:t>Anlage 3 Lieferantenrahmenvertrag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BE02E8"/>
    <w:multiLevelType w:val="hybridMultilevel"/>
    <w:tmpl w:val="5BDA3654"/>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E029D2"/>
    <w:multiLevelType w:val="hybridMultilevel"/>
    <w:tmpl w:val="4A12E7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D2F5134"/>
    <w:multiLevelType w:val="hybridMultilevel"/>
    <w:tmpl w:val="3ADA2F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D847CFA"/>
    <w:multiLevelType w:val="hybridMultilevel"/>
    <w:tmpl w:val="4F18A7CC"/>
    <w:lvl w:ilvl="0" w:tplc="653E7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1FC160B4"/>
    <w:multiLevelType w:val="hybridMultilevel"/>
    <w:tmpl w:val="1138E51A"/>
    <w:lvl w:ilvl="0" w:tplc="788E7B1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485339F"/>
    <w:multiLevelType w:val="multilevel"/>
    <w:tmpl w:val="E94A7AB2"/>
    <w:numStyleLink w:val="Gliederung2"/>
  </w:abstractNum>
  <w:abstractNum w:abstractNumId="28" w15:restartNumberingAfterBreak="0">
    <w:nsid w:val="25D7756B"/>
    <w:multiLevelType w:val="multilevel"/>
    <w:tmpl w:val="E94A7AB2"/>
    <w:numStyleLink w:val="Gliederung2"/>
  </w:abstractNum>
  <w:abstractNum w:abstractNumId="29"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33"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6367DF1"/>
    <w:multiLevelType w:val="multilevel"/>
    <w:tmpl w:val="E94A7AB2"/>
    <w:numStyleLink w:val="Gliederung2"/>
  </w:abstractNum>
  <w:abstractNum w:abstractNumId="36"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9"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5566D4"/>
    <w:multiLevelType w:val="multilevel"/>
    <w:tmpl w:val="976804DE"/>
    <w:numStyleLink w:val="Gliederung3"/>
  </w:abstractNum>
  <w:abstractNum w:abstractNumId="44"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85A68DC"/>
    <w:multiLevelType w:val="hybridMultilevel"/>
    <w:tmpl w:val="1480B0E8"/>
    <w:lvl w:ilvl="0" w:tplc="B720EAE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6B07A4"/>
    <w:multiLevelType w:val="hybridMultilevel"/>
    <w:tmpl w:val="5A504B6E"/>
    <w:lvl w:ilvl="0" w:tplc="19EE3BBE">
      <w:start w:val="1"/>
      <w:numFmt w:val="decimal"/>
      <w:lvlText w:val="%1."/>
      <w:lvlJc w:val="left"/>
      <w:pPr>
        <w:ind w:left="785" w:hanging="360"/>
      </w:pPr>
      <w:rPr>
        <w:color w:val="000000"/>
        <w:u w:val="single"/>
      </w:rPr>
    </w:lvl>
    <w:lvl w:ilvl="1" w:tplc="04070019">
      <w:start w:val="1"/>
      <w:numFmt w:val="lowerLetter"/>
      <w:lvlText w:val="%2."/>
      <w:lvlJc w:val="left"/>
      <w:pPr>
        <w:ind w:left="1505" w:hanging="360"/>
      </w:pPr>
    </w:lvl>
    <w:lvl w:ilvl="2" w:tplc="0407001B">
      <w:start w:val="1"/>
      <w:numFmt w:val="lowerRoman"/>
      <w:lvlText w:val="%3."/>
      <w:lvlJc w:val="right"/>
      <w:pPr>
        <w:ind w:left="2225" w:hanging="180"/>
      </w:pPr>
    </w:lvl>
    <w:lvl w:ilvl="3" w:tplc="0407000F">
      <w:start w:val="1"/>
      <w:numFmt w:val="decimal"/>
      <w:lvlText w:val="%4."/>
      <w:lvlJc w:val="left"/>
      <w:pPr>
        <w:ind w:left="2945" w:hanging="360"/>
      </w:pPr>
    </w:lvl>
    <w:lvl w:ilvl="4" w:tplc="04070019">
      <w:start w:val="1"/>
      <w:numFmt w:val="lowerLetter"/>
      <w:lvlText w:val="%5."/>
      <w:lvlJc w:val="left"/>
      <w:pPr>
        <w:ind w:left="3665" w:hanging="360"/>
      </w:pPr>
    </w:lvl>
    <w:lvl w:ilvl="5" w:tplc="0407001B">
      <w:start w:val="1"/>
      <w:numFmt w:val="lowerRoman"/>
      <w:lvlText w:val="%6."/>
      <w:lvlJc w:val="right"/>
      <w:pPr>
        <w:ind w:left="4385" w:hanging="180"/>
      </w:pPr>
    </w:lvl>
    <w:lvl w:ilvl="6" w:tplc="0407000F">
      <w:start w:val="1"/>
      <w:numFmt w:val="decimal"/>
      <w:lvlText w:val="%7."/>
      <w:lvlJc w:val="left"/>
      <w:pPr>
        <w:ind w:left="5105" w:hanging="360"/>
      </w:pPr>
    </w:lvl>
    <w:lvl w:ilvl="7" w:tplc="04070019">
      <w:start w:val="1"/>
      <w:numFmt w:val="lowerLetter"/>
      <w:lvlText w:val="%8."/>
      <w:lvlJc w:val="left"/>
      <w:pPr>
        <w:ind w:left="5825" w:hanging="360"/>
      </w:pPr>
    </w:lvl>
    <w:lvl w:ilvl="8" w:tplc="0407001B">
      <w:start w:val="1"/>
      <w:numFmt w:val="lowerRoman"/>
      <w:lvlText w:val="%9."/>
      <w:lvlJc w:val="right"/>
      <w:pPr>
        <w:ind w:left="6545" w:hanging="180"/>
      </w:pPr>
    </w:lvl>
  </w:abstractNum>
  <w:abstractNum w:abstractNumId="49"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2820398"/>
    <w:multiLevelType w:val="hybridMultilevel"/>
    <w:tmpl w:val="17627EDE"/>
    <w:lvl w:ilvl="0" w:tplc="7DC69762">
      <w:start w:val="1"/>
      <w:numFmt w:val="decimal"/>
      <w:lvlText w:val="%1."/>
      <w:lvlJc w:val="left"/>
      <w:pPr>
        <w:ind w:left="836" w:hanging="360"/>
      </w:pPr>
      <w:rPr>
        <w:rFonts w:hint="default"/>
        <w:spacing w:val="-1"/>
        <w:w w:val="100"/>
        <w:lang w:val="en-US" w:eastAsia="en-US" w:bidi="en-US"/>
      </w:rPr>
    </w:lvl>
    <w:lvl w:ilvl="1" w:tplc="223235F6">
      <w:start w:val="1"/>
      <w:numFmt w:val="lowerLetter"/>
      <w:lvlText w:val="%2."/>
      <w:lvlJc w:val="left"/>
      <w:pPr>
        <w:ind w:left="1556" w:hanging="360"/>
      </w:pPr>
      <w:rPr>
        <w:rFonts w:ascii="Arial" w:eastAsia="Arial" w:hAnsi="Arial" w:cs="Arial" w:hint="default"/>
        <w:spacing w:val="-1"/>
        <w:w w:val="100"/>
        <w:sz w:val="22"/>
        <w:szCs w:val="22"/>
        <w:lang w:val="en-US" w:eastAsia="en-US" w:bidi="en-US"/>
      </w:rPr>
    </w:lvl>
    <w:lvl w:ilvl="2" w:tplc="99748F56">
      <w:numFmt w:val="bullet"/>
      <w:lvlText w:val="•"/>
      <w:lvlJc w:val="left"/>
      <w:pPr>
        <w:ind w:left="2420" w:hanging="360"/>
      </w:pPr>
      <w:rPr>
        <w:rFonts w:hint="default"/>
        <w:lang w:val="en-US" w:eastAsia="en-US" w:bidi="en-US"/>
      </w:rPr>
    </w:lvl>
    <w:lvl w:ilvl="3" w:tplc="7ED66924">
      <w:numFmt w:val="bullet"/>
      <w:lvlText w:val="•"/>
      <w:lvlJc w:val="left"/>
      <w:pPr>
        <w:ind w:left="3280" w:hanging="360"/>
      </w:pPr>
      <w:rPr>
        <w:rFonts w:hint="default"/>
        <w:lang w:val="en-US" w:eastAsia="en-US" w:bidi="en-US"/>
      </w:rPr>
    </w:lvl>
    <w:lvl w:ilvl="4" w:tplc="E47037BC">
      <w:numFmt w:val="bullet"/>
      <w:lvlText w:val="•"/>
      <w:lvlJc w:val="left"/>
      <w:pPr>
        <w:ind w:left="4141" w:hanging="360"/>
      </w:pPr>
      <w:rPr>
        <w:rFonts w:hint="default"/>
        <w:lang w:val="en-US" w:eastAsia="en-US" w:bidi="en-US"/>
      </w:rPr>
    </w:lvl>
    <w:lvl w:ilvl="5" w:tplc="B386B896">
      <w:numFmt w:val="bullet"/>
      <w:lvlText w:val="•"/>
      <w:lvlJc w:val="left"/>
      <w:pPr>
        <w:ind w:left="5001" w:hanging="360"/>
      </w:pPr>
      <w:rPr>
        <w:rFonts w:hint="default"/>
        <w:lang w:val="en-US" w:eastAsia="en-US" w:bidi="en-US"/>
      </w:rPr>
    </w:lvl>
    <w:lvl w:ilvl="6" w:tplc="094E62AC">
      <w:numFmt w:val="bullet"/>
      <w:lvlText w:val="•"/>
      <w:lvlJc w:val="left"/>
      <w:pPr>
        <w:ind w:left="5862" w:hanging="360"/>
      </w:pPr>
      <w:rPr>
        <w:rFonts w:hint="default"/>
        <w:lang w:val="en-US" w:eastAsia="en-US" w:bidi="en-US"/>
      </w:rPr>
    </w:lvl>
    <w:lvl w:ilvl="7" w:tplc="EAC63520">
      <w:numFmt w:val="bullet"/>
      <w:lvlText w:val="•"/>
      <w:lvlJc w:val="left"/>
      <w:pPr>
        <w:ind w:left="6722" w:hanging="360"/>
      </w:pPr>
      <w:rPr>
        <w:rFonts w:hint="default"/>
        <w:lang w:val="en-US" w:eastAsia="en-US" w:bidi="en-US"/>
      </w:rPr>
    </w:lvl>
    <w:lvl w:ilvl="8" w:tplc="796CC7BA">
      <w:numFmt w:val="bullet"/>
      <w:lvlText w:val="•"/>
      <w:lvlJc w:val="left"/>
      <w:pPr>
        <w:ind w:left="7583" w:hanging="360"/>
      </w:pPr>
      <w:rPr>
        <w:rFonts w:hint="default"/>
        <w:lang w:val="en-US" w:eastAsia="en-US" w:bidi="en-US"/>
      </w:rPr>
    </w:lvl>
  </w:abstractNum>
  <w:abstractNum w:abstractNumId="52"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3"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8"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0"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4"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2498578">
    <w:abstractNumId w:val="47"/>
  </w:num>
  <w:num w:numId="2" w16cid:durableId="1958440158">
    <w:abstractNumId w:val="69"/>
  </w:num>
  <w:num w:numId="3" w16cid:durableId="1242520531">
    <w:abstractNumId w:val="25"/>
  </w:num>
  <w:num w:numId="4" w16cid:durableId="1469275698">
    <w:abstractNumId w:val="17"/>
  </w:num>
  <w:num w:numId="5" w16cid:durableId="1100103075">
    <w:abstractNumId w:val="62"/>
  </w:num>
  <w:num w:numId="6" w16cid:durableId="353307281">
    <w:abstractNumId w:val="54"/>
  </w:num>
  <w:num w:numId="7" w16cid:durableId="259291714">
    <w:abstractNumId w:val="9"/>
  </w:num>
  <w:num w:numId="8" w16cid:durableId="1693678181">
    <w:abstractNumId w:val="56"/>
  </w:num>
  <w:num w:numId="9" w16cid:durableId="186721840">
    <w:abstractNumId w:val="70"/>
  </w:num>
  <w:num w:numId="10" w16cid:durableId="2100827067">
    <w:abstractNumId w:val="6"/>
  </w:num>
  <w:num w:numId="11" w16cid:durableId="349265069">
    <w:abstractNumId w:val="55"/>
  </w:num>
  <w:num w:numId="12" w16cid:durableId="2126191245">
    <w:abstractNumId w:val="23"/>
  </w:num>
  <w:num w:numId="13" w16cid:durableId="768963738">
    <w:abstractNumId w:val="61"/>
  </w:num>
  <w:num w:numId="14" w16cid:durableId="376317922">
    <w:abstractNumId w:val="53"/>
  </w:num>
  <w:num w:numId="15" w16cid:durableId="106587357">
    <w:abstractNumId w:val="42"/>
  </w:num>
  <w:num w:numId="16" w16cid:durableId="470371870">
    <w:abstractNumId w:val="65"/>
  </w:num>
  <w:num w:numId="17" w16cid:durableId="973221615">
    <w:abstractNumId w:val="40"/>
  </w:num>
  <w:num w:numId="18" w16cid:durableId="240872644">
    <w:abstractNumId w:val="1"/>
  </w:num>
  <w:num w:numId="19" w16cid:durableId="1897155903">
    <w:abstractNumId w:val="68"/>
  </w:num>
  <w:num w:numId="20" w16cid:durableId="982196207">
    <w:abstractNumId w:val="17"/>
  </w:num>
  <w:num w:numId="21" w16cid:durableId="191119083">
    <w:abstractNumId w:val="33"/>
  </w:num>
  <w:num w:numId="22" w16cid:durableId="2123837582">
    <w:abstractNumId w:val="11"/>
  </w:num>
  <w:num w:numId="23" w16cid:durableId="1014116596">
    <w:abstractNumId w:val="50"/>
  </w:num>
  <w:num w:numId="24" w16cid:durableId="101848246">
    <w:abstractNumId w:val="5"/>
  </w:num>
  <w:num w:numId="25" w16cid:durableId="759567531">
    <w:abstractNumId w:val="75"/>
  </w:num>
  <w:num w:numId="26" w16cid:durableId="1456414090">
    <w:abstractNumId w:val="13"/>
  </w:num>
  <w:num w:numId="27" w16cid:durableId="2097094209">
    <w:abstractNumId w:val="15"/>
  </w:num>
  <w:num w:numId="28" w16cid:durableId="942762997">
    <w:abstractNumId w:val="44"/>
  </w:num>
  <w:num w:numId="29" w16cid:durableId="294798378">
    <w:abstractNumId w:val="3"/>
  </w:num>
  <w:num w:numId="30" w16cid:durableId="1555235615">
    <w:abstractNumId w:val="28"/>
  </w:num>
  <w:num w:numId="31" w16cid:durableId="18244075">
    <w:abstractNumId w:val="17"/>
  </w:num>
  <w:num w:numId="32" w16cid:durableId="1548026551">
    <w:abstractNumId w:val="17"/>
    <w:lvlOverride w:ilvl="0">
      <w:startOverride w:val="1"/>
    </w:lvlOverride>
  </w:num>
  <w:num w:numId="33" w16cid:durableId="2040473601">
    <w:abstractNumId w:val="17"/>
  </w:num>
  <w:num w:numId="34" w16cid:durableId="625090475">
    <w:abstractNumId w:val="12"/>
  </w:num>
  <w:num w:numId="35" w16cid:durableId="624896199">
    <w:abstractNumId w:val="46"/>
  </w:num>
  <w:num w:numId="36" w16cid:durableId="1600480377">
    <w:abstractNumId w:val="59"/>
  </w:num>
  <w:num w:numId="37" w16cid:durableId="1749881909">
    <w:abstractNumId w:val="8"/>
  </w:num>
  <w:num w:numId="38" w16cid:durableId="1830050516">
    <w:abstractNumId w:val="67"/>
  </w:num>
  <w:num w:numId="39" w16cid:durableId="1484421962">
    <w:abstractNumId w:val="21"/>
  </w:num>
  <w:num w:numId="40" w16cid:durableId="920024817">
    <w:abstractNumId w:val="37"/>
  </w:num>
  <w:num w:numId="41" w16cid:durableId="699281522">
    <w:abstractNumId w:val="73"/>
  </w:num>
  <w:num w:numId="42" w16cid:durableId="1488132134">
    <w:abstractNumId w:val="5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16cid:durableId="436217608">
    <w:abstractNumId w:val="4"/>
  </w:num>
  <w:num w:numId="44" w16cid:durableId="382098905">
    <w:abstractNumId w:val="60"/>
  </w:num>
  <w:num w:numId="45" w16cid:durableId="1814180904">
    <w:abstractNumId w:val="36"/>
  </w:num>
  <w:num w:numId="46" w16cid:durableId="1156073205">
    <w:abstractNumId w:val="76"/>
  </w:num>
  <w:num w:numId="47" w16cid:durableId="1856840377">
    <w:abstractNumId w:val="49"/>
  </w:num>
  <w:num w:numId="48" w16cid:durableId="1411344625">
    <w:abstractNumId w:val="63"/>
  </w:num>
  <w:num w:numId="49" w16cid:durableId="1843858262">
    <w:abstractNumId w:val="17"/>
  </w:num>
  <w:num w:numId="50" w16cid:durableId="201135630">
    <w:abstractNumId w:val="66"/>
  </w:num>
  <w:num w:numId="51" w16cid:durableId="1722630004">
    <w:abstractNumId w:val="27"/>
  </w:num>
  <w:num w:numId="52" w16cid:durableId="879896591">
    <w:abstractNumId w:val="16"/>
  </w:num>
  <w:num w:numId="53" w16cid:durableId="474031236">
    <w:abstractNumId w:val="26"/>
  </w:num>
  <w:num w:numId="54" w16cid:durableId="1813793710">
    <w:abstractNumId w:val="34"/>
  </w:num>
  <w:num w:numId="55" w16cid:durableId="596137482">
    <w:abstractNumId w:val="39"/>
  </w:num>
  <w:num w:numId="56" w16cid:durableId="1442799881">
    <w:abstractNumId w:val="30"/>
  </w:num>
  <w:num w:numId="57" w16cid:durableId="1216089535">
    <w:abstractNumId w:val="38"/>
  </w:num>
  <w:num w:numId="58" w16cid:durableId="1140810443">
    <w:abstractNumId w:val="74"/>
  </w:num>
  <w:num w:numId="59" w16cid:durableId="661812058">
    <w:abstractNumId w:val="64"/>
  </w:num>
  <w:num w:numId="60" w16cid:durableId="42095659">
    <w:abstractNumId w:val="71"/>
  </w:num>
  <w:num w:numId="61" w16cid:durableId="221528625">
    <w:abstractNumId w:val="2"/>
  </w:num>
  <w:num w:numId="62" w16cid:durableId="1918517704">
    <w:abstractNumId w:val="14"/>
  </w:num>
  <w:num w:numId="63" w16cid:durableId="1214731852">
    <w:abstractNumId w:val="72"/>
  </w:num>
  <w:num w:numId="64" w16cid:durableId="627399825">
    <w:abstractNumId w:val="41"/>
  </w:num>
  <w:num w:numId="65" w16cid:durableId="56321039">
    <w:abstractNumId w:val="7"/>
  </w:num>
  <w:num w:numId="66" w16cid:durableId="625163016">
    <w:abstractNumId w:val="35"/>
  </w:num>
  <w:num w:numId="67" w16cid:durableId="1750074873">
    <w:abstractNumId w:val="43"/>
  </w:num>
  <w:num w:numId="68" w16cid:durableId="1924951056">
    <w:abstractNumId w:val="52"/>
  </w:num>
  <w:num w:numId="69" w16cid:durableId="12078920">
    <w:abstractNumId w:val="32"/>
  </w:num>
  <w:num w:numId="70" w16cid:durableId="1393113154">
    <w:abstractNumId w:val="29"/>
  </w:num>
  <w:num w:numId="71" w16cid:durableId="567571549">
    <w:abstractNumId w:val="57"/>
  </w:num>
  <w:num w:numId="72" w16cid:durableId="462044629">
    <w:abstractNumId w:val="31"/>
  </w:num>
  <w:num w:numId="73" w16cid:durableId="522129196">
    <w:abstractNumId w:val="0"/>
  </w:num>
  <w:num w:numId="74" w16cid:durableId="909651819">
    <w:abstractNumId w:val="24"/>
  </w:num>
  <w:num w:numId="75" w16cid:durableId="1689478510">
    <w:abstractNumId w:val="17"/>
    <w:lvlOverride w:ilvl="0">
      <w:startOverride w:val="1"/>
    </w:lvlOverride>
  </w:num>
  <w:num w:numId="76" w16cid:durableId="1707826230">
    <w:abstractNumId w:val="19"/>
  </w:num>
  <w:num w:numId="77" w16cid:durableId="1318416602">
    <w:abstractNumId w:val="20"/>
  </w:num>
  <w:num w:numId="78" w16cid:durableId="108360451">
    <w:abstractNumId w:val="18"/>
  </w:num>
  <w:num w:numId="79" w16cid:durableId="1611664609">
    <w:abstractNumId w:val="22"/>
  </w:num>
  <w:num w:numId="80" w16cid:durableId="332802331">
    <w:abstractNumId w:val="45"/>
  </w:num>
  <w:num w:numId="81" w16cid:durableId="1210071944">
    <w:abstractNumId w:val="10"/>
  </w:num>
  <w:num w:numId="82" w16cid:durableId="1069038660">
    <w:abstractNumId w:val="51"/>
  </w:num>
  <w:num w:numId="83" w16cid:durableId="8446306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06FE0"/>
    <w:rsid w:val="00010243"/>
    <w:rsid w:val="000105D1"/>
    <w:rsid w:val="00011D01"/>
    <w:rsid w:val="000121E6"/>
    <w:rsid w:val="00012D1F"/>
    <w:rsid w:val="0001464C"/>
    <w:rsid w:val="00014E2E"/>
    <w:rsid w:val="00015456"/>
    <w:rsid w:val="00016152"/>
    <w:rsid w:val="0001630C"/>
    <w:rsid w:val="0001644F"/>
    <w:rsid w:val="00016AB1"/>
    <w:rsid w:val="000177D4"/>
    <w:rsid w:val="0001799B"/>
    <w:rsid w:val="00017BFA"/>
    <w:rsid w:val="00020113"/>
    <w:rsid w:val="0002027F"/>
    <w:rsid w:val="000203A8"/>
    <w:rsid w:val="00020B6F"/>
    <w:rsid w:val="00022478"/>
    <w:rsid w:val="00022ED4"/>
    <w:rsid w:val="00022F9E"/>
    <w:rsid w:val="00024522"/>
    <w:rsid w:val="00027558"/>
    <w:rsid w:val="00027C60"/>
    <w:rsid w:val="00027D18"/>
    <w:rsid w:val="00027E8B"/>
    <w:rsid w:val="0003044C"/>
    <w:rsid w:val="00031402"/>
    <w:rsid w:val="00031DB0"/>
    <w:rsid w:val="000322D1"/>
    <w:rsid w:val="00034CB0"/>
    <w:rsid w:val="00035CE2"/>
    <w:rsid w:val="00035E94"/>
    <w:rsid w:val="000363E7"/>
    <w:rsid w:val="000363FF"/>
    <w:rsid w:val="00037051"/>
    <w:rsid w:val="000377AD"/>
    <w:rsid w:val="00037AA3"/>
    <w:rsid w:val="0004036E"/>
    <w:rsid w:val="000422A4"/>
    <w:rsid w:val="0004287B"/>
    <w:rsid w:val="00042A97"/>
    <w:rsid w:val="00042C9B"/>
    <w:rsid w:val="00042E33"/>
    <w:rsid w:val="0004376D"/>
    <w:rsid w:val="00044D96"/>
    <w:rsid w:val="00045687"/>
    <w:rsid w:val="00045CAC"/>
    <w:rsid w:val="00045F38"/>
    <w:rsid w:val="00046318"/>
    <w:rsid w:val="00047888"/>
    <w:rsid w:val="000507F1"/>
    <w:rsid w:val="00052186"/>
    <w:rsid w:val="0005315B"/>
    <w:rsid w:val="00053229"/>
    <w:rsid w:val="00053D2B"/>
    <w:rsid w:val="00053FDA"/>
    <w:rsid w:val="00054E5C"/>
    <w:rsid w:val="00055949"/>
    <w:rsid w:val="00055C4B"/>
    <w:rsid w:val="000570EC"/>
    <w:rsid w:val="00057E68"/>
    <w:rsid w:val="00060123"/>
    <w:rsid w:val="0006060B"/>
    <w:rsid w:val="000606DA"/>
    <w:rsid w:val="00060753"/>
    <w:rsid w:val="00060F46"/>
    <w:rsid w:val="00062109"/>
    <w:rsid w:val="000622A8"/>
    <w:rsid w:val="000630F3"/>
    <w:rsid w:val="0006405A"/>
    <w:rsid w:val="00064DA9"/>
    <w:rsid w:val="000650FC"/>
    <w:rsid w:val="00065134"/>
    <w:rsid w:val="00065C59"/>
    <w:rsid w:val="00065F04"/>
    <w:rsid w:val="0006797C"/>
    <w:rsid w:val="00070F7F"/>
    <w:rsid w:val="0007196C"/>
    <w:rsid w:val="0007290C"/>
    <w:rsid w:val="00072B63"/>
    <w:rsid w:val="0007384D"/>
    <w:rsid w:val="00074665"/>
    <w:rsid w:val="00074A24"/>
    <w:rsid w:val="00076CE5"/>
    <w:rsid w:val="000773B1"/>
    <w:rsid w:val="000775B2"/>
    <w:rsid w:val="00077949"/>
    <w:rsid w:val="00080020"/>
    <w:rsid w:val="00080C9A"/>
    <w:rsid w:val="0008437A"/>
    <w:rsid w:val="00084772"/>
    <w:rsid w:val="000847BB"/>
    <w:rsid w:val="00084FEC"/>
    <w:rsid w:val="00085F64"/>
    <w:rsid w:val="00086B7A"/>
    <w:rsid w:val="00086F7D"/>
    <w:rsid w:val="00087287"/>
    <w:rsid w:val="00090D29"/>
    <w:rsid w:val="000913E2"/>
    <w:rsid w:val="00095F8C"/>
    <w:rsid w:val="00096EC4"/>
    <w:rsid w:val="00097C49"/>
    <w:rsid w:val="000A0D23"/>
    <w:rsid w:val="000A0E1C"/>
    <w:rsid w:val="000A2DA9"/>
    <w:rsid w:val="000A3E78"/>
    <w:rsid w:val="000A3F90"/>
    <w:rsid w:val="000A5046"/>
    <w:rsid w:val="000A51C2"/>
    <w:rsid w:val="000A5B0F"/>
    <w:rsid w:val="000A7628"/>
    <w:rsid w:val="000A7F17"/>
    <w:rsid w:val="000B0850"/>
    <w:rsid w:val="000B1247"/>
    <w:rsid w:val="000B1F03"/>
    <w:rsid w:val="000B209C"/>
    <w:rsid w:val="000B293E"/>
    <w:rsid w:val="000B2C83"/>
    <w:rsid w:val="000B30FF"/>
    <w:rsid w:val="000B3735"/>
    <w:rsid w:val="000B37D6"/>
    <w:rsid w:val="000B381C"/>
    <w:rsid w:val="000B441C"/>
    <w:rsid w:val="000B4502"/>
    <w:rsid w:val="000B493A"/>
    <w:rsid w:val="000B4A59"/>
    <w:rsid w:val="000B4D7D"/>
    <w:rsid w:val="000B517E"/>
    <w:rsid w:val="000B5F6B"/>
    <w:rsid w:val="000B6AE1"/>
    <w:rsid w:val="000B71E5"/>
    <w:rsid w:val="000B7CE7"/>
    <w:rsid w:val="000B7DDA"/>
    <w:rsid w:val="000B7E48"/>
    <w:rsid w:val="000C0B9D"/>
    <w:rsid w:val="000C2021"/>
    <w:rsid w:val="000C34FA"/>
    <w:rsid w:val="000C372C"/>
    <w:rsid w:val="000C4478"/>
    <w:rsid w:val="000C453D"/>
    <w:rsid w:val="000C4E3E"/>
    <w:rsid w:val="000C4E5A"/>
    <w:rsid w:val="000C50D7"/>
    <w:rsid w:val="000C537D"/>
    <w:rsid w:val="000C5C78"/>
    <w:rsid w:val="000C5D32"/>
    <w:rsid w:val="000C5E72"/>
    <w:rsid w:val="000C6C58"/>
    <w:rsid w:val="000C71B8"/>
    <w:rsid w:val="000C7C4C"/>
    <w:rsid w:val="000D0BD1"/>
    <w:rsid w:val="000D0DC0"/>
    <w:rsid w:val="000D1A3D"/>
    <w:rsid w:val="000D1EAB"/>
    <w:rsid w:val="000D441E"/>
    <w:rsid w:val="000D492D"/>
    <w:rsid w:val="000D4C17"/>
    <w:rsid w:val="000D58ED"/>
    <w:rsid w:val="000D5E17"/>
    <w:rsid w:val="000D6E39"/>
    <w:rsid w:val="000E0C0D"/>
    <w:rsid w:val="000E12EA"/>
    <w:rsid w:val="000E2475"/>
    <w:rsid w:val="000E2D0A"/>
    <w:rsid w:val="000E2E86"/>
    <w:rsid w:val="000E321E"/>
    <w:rsid w:val="000E3A0F"/>
    <w:rsid w:val="000E482E"/>
    <w:rsid w:val="000E4D98"/>
    <w:rsid w:val="000E4F48"/>
    <w:rsid w:val="000E5972"/>
    <w:rsid w:val="000E7EB4"/>
    <w:rsid w:val="000F0326"/>
    <w:rsid w:val="000F0EDD"/>
    <w:rsid w:val="000F1429"/>
    <w:rsid w:val="000F165B"/>
    <w:rsid w:val="000F4B35"/>
    <w:rsid w:val="000F580D"/>
    <w:rsid w:val="000F5B04"/>
    <w:rsid w:val="000F5E31"/>
    <w:rsid w:val="000F656D"/>
    <w:rsid w:val="000F76D4"/>
    <w:rsid w:val="000F7AA0"/>
    <w:rsid w:val="000F7CD1"/>
    <w:rsid w:val="00101B50"/>
    <w:rsid w:val="00102673"/>
    <w:rsid w:val="00102711"/>
    <w:rsid w:val="0010326E"/>
    <w:rsid w:val="001042F0"/>
    <w:rsid w:val="00105159"/>
    <w:rsid w:val="00105975"/>
    <w:rsid w:val="00105C23"/>
    <w:rsid w:val="0010629C"/>
    <w:rsid w:val="00107608"/>
    <w:rsid w:val="00107665"/>
    <w:rsid w:val="0011012A"/>
    <w:rsid w:val="00112886"/>
    <w:rsid w:val="001135DE"/>
    <w:rsid w:val="00114860"/>
    <w:rsid w:val="00114D83"/>
    <w:rsid w:val="00115885"/>
    <w:rsid w:val="001159CD"/>
    <w:rsid w:val="00115EFD"/>
    <w:rsid w:val="00116253"/>
    <w:rsid w:val="001168CA"/>
    <w:rsid w:val="001174B6"/>
    <w:rsid w:val="001174FB"/>
    <w:rsid w:val="00117DAA"/>
    <w:rsid w:val="00117E6D"/>
    <w:rsid w:val="00117F54"/>
    <w:rsid w:val="00120B3D"/>
    <w:rsid w:val="00121063"/>
    <w:rsid w:val="0012140C"/>
    <w:rsid w:val="00121C43"/>
    <w:rsid w:val="001221D7"/>
    <w:rsid w:val="0012247A"/>
    <w:rsid w:val="0012274B"/>
    <w:rsid w:val="00122A9C"/>
    <w:rsid w:val="0012383C"/>
    <w:rsid w:val="00124239"/>
    <w:rsid w:val="001254E7"/>
    <w:rsid w:val="0012770D"/>
    <w:rsid w:val="001300A2"/>
    <w:rsid w:val="0013074C"/>
    <w:rsid w:val="001316DB"/>
    <w:rsid w:val="00132C55"/>
    <w:rsid w:val="00133725"/>
    <w:rsid w:val="00133736"/>
    <w:rsid w:val="00134905"/>
    <w:rsid w:val="00134EC7"/>
    <w:rsid w:val="00135ADA"/>
    <w:rsid w:val="00135FFE"/>
    <w:rsid w:val="00137AC9"/>
    <w:rsid w:val="00137EF3"/>
    <w:rsid w:val="00142A1C"/>
    <w:rsid w:val="001456F0"/>
    <w:rsid w:val="001459A7"/>
    <w:rsid w:val="00145AA0"/>
    <w:rsid w:val="00147472"/>
    <w:rsid w:val="00150E8C"/>
    <w:rsid w:val="00154238"/>
    <w:rsid w:val="00154EED"/>
    <w:rsid w:val="001550D7"/>
    <w:rsid w:val="001564F2"/>
    <w:rsid w:val="0015780F"/>
    <w:rsid w:val="001616BF"/>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7700D"/>
    <w:rsid w:val="00180FC7"/>
    <w:rsid w:val="0018145C"/>
    <w:rsid w:val="001819C8"/>
    <w:rsid w:val="00181F09"/>
    <w:rsid w:val="001837AA"/>
    <w:rsid w:val="001843B7"/>
    <w:rsid w:val="0018455F"/>
    <w:rsid w:val="00185638"/>
    <w:rsid w:val="00186340"/>
    <w:rsid w:val="00186FAD"/>
    <w:rsid w:val="00190735"/>
    <w:rsid w:val="00190A2B"/>
    <w:rsid w:val="00190D0F"/>
    <w:rsid w:val="00191FC3"/>
    <w:rsid w:val="00193FAF"/>
    <w:rsid w:val="001958FC"/>
    <w:rsid w:val="00195FD1"/>
    <w:rsid w:val="001961A4"/>
    <w:rsid w:val="001964D6"/>
    <w:rsid w:val="00196777"/>
    <w:rsid w:val="001967D0"/>
    <w:rsid w:val="001968F9"/>
    <w:rsid w:val="00196BF5"/>
    <w:rsid w:val="00196D55"/>
    <w:rsid w:val="001970FF"/>
    <w:rsid w:val="00197F3B"/>
    <w:rsid w:val="001A0354"/>
    <w:rsid w:val="001A07CC"/>
    <w:rsid w:val="001A080D"/>
    <w:rsid w:val="001A1461"/>
    <w:rsid w:val="001A25D2"/>
    <w:rsid w:val="001A3C9C"/>
    <w:rsid w:val="001A3DA3"/>
    <w:rsid w:val="001A4281"/>
    <w:rsid w:val="001A514F"/>
    <w:rsid w:val="001A5217"/>
    <w:rsid w:val="001A5405"/>
    <w:rsid w:val="001A5C72"/>
    <w:rsid w:val="001A632E"/>
    <w:rsid w:val="001A6CBE"/>
    <w:rsid w:val="001A6E45"/>
    <w:rsid w:val="001A6F1E"/>
    <w:rsid w:val="001A721D"/>
    <w:rsid w:val="001A742F"/>
    <w:rsid w:val="001A7941"/>
    <w:rsid w:val="001A7E4D"/>
    <w:rsid w:val="001B017B"/>
    <w:rsid w:val="001B03A1"/>
    <w:rsid w:val="001B0513"/>
    <w:rsid w:val="001B09BC"/>
    <w:rsid w:val="001B0F44"/>
    <w:rsid w:val="001B26E5"/>
    <w:rsid w:val="001B2BAC"/>
    <w:rsid w:val="001B2D23"/>
    <w:rsid w:val="001B30E6"/>
    <w:rsid w:val="001B33D7"/>
    <w:rsid w:val="001B50BC"/>
    <w:rsid w:val="001B50BE"/>
    <w:rsid w:val="001B5288"/>
    <w:rsid w:val="001B5BAE"/>
    <w:rsid w:val="001B6C77"/>
    <w:rsid w:val="001C04A0"/>
    <w:rsid w:val="001C05E2"/>
    <w:rsid w:val="001C089F"/>
    <w:rsid w:val="001C0DE7"/>
    <w:rsid w:val="001C102A"/>
    <w:rsid w:val="001C16A1"/>
    <w:rsid w:val="001C1978"/>
    <w:rsid w:val="001C2538"/>
    <w:rsid w:val="001C2A1A"/>
    <w:rsid w:val="001C3A8A"/>
    <w:rsid w:val="001C3EEB"/>
    <w:rsid w:val="001C5DF7"/>
    <w:rsid w:val="001C7AEF"/>
    <w:rsid w:val="001D0ABD"/>
    <w:rsid w:val="001D1ADB"/>
    <w:rsid w:val="001D220B"/>
    <w:rsid w:val="001D248D"/>
    <w:rsid w:val="001D2DF6"/>
    <w:rsid w:val="001D43FA"/>
    <w:rsid w:val="001D48FC"/>
    <w:rsid w:val="001D6105"/>
    <w:rsid w:val="001E02F9"/>
    <w:rsid w:val="001E031B"/>
    <w:rsid w:val="001E0CC6"/>
    <w:rsid w:val="001E11FE"/>
    <w:rsid w:val="001E1F65"/>
    <w:rsid w:val="001E334E"/>
    <w:rsid w:val="001E365D"/>
    <w:rsid w:val="001E3E7E"/>
    <w:rsid w:val="001E492F"/>
    <w:rsid w:val="001E522E"/>
    <w:rsid w:val="001E5BCE"/>
    <w:rsid w:val="001E5DE8"/>
    <w:rsid w:val="001E5F8D"/>
    <w:rsid w:val="001E7856"/>
    <w:rsid w:val="001F120C"/>
    <w:rsid w:val="001F1494"/>
    <w:rsid w:val="001F1A57"/>
    <w:rsid w:val="001F1CC3"/>
    <w:rsid w:val="001F2415"/>
    <w:rsid w:val="001F2834"/>
    <w:rsid w:val="001F3367"/>
    <w:rsid w:val="001F509A"/>
    <w:rsid w:val="001F5166"/>
    <w:rsid w:val="001F550D"/>
    <w:rsid w:val="001F6AAE"/>
    <w:rsid w:val="0020296E"/>
    <w:rsid w:val="00203E7D"/>
    <w:rsid w:val="00205143"/>
    <w:rsid w:val="00206F02"/>
    <w:rsid w:val="002074AA"/>
    <w:rsid w:val="002100DC"/>
    <w:rsid w:val="00210EE4"/>
    <w:rsid w:val="002119F8"/>
    <w:rsid w:val="002138B3"/>
    <w:rsid w:val="00213F6B"/>
    <w:rsid w:val="00216DA9"/>
    <w:rsid w:val="002206DF"/>
    <w:rsid w:val="00222749"/>
    <w:rsid w:val="00222894"/>
    <w:rsid w:val="0022338E"/>
    <w:rsid w:val="00223849"/>
    <w:rsid w:val="002239C6"/>
    <w:rsid w:val="00223F41"/>
    <w:rsid w:val="00224A39"/>
    <w:rsid w:val="00224A3D"/>
    <w:rsid w:val="00225E0F"/>
    <w:rsid w:val="0022681C"/>
    <w:rsid w:val="00226EC8"/>
    <w:rsid w:val="00227320"/>
    <w:rsid w:val="00227BAE"/>
    <w:rsid w:val="00227E6B"/>
    <w:rsid w:val="0023032C"/>
    <w:rsid w:val="002316E9"/>
    <w:rsid w:val="002318DA"/>
    <w:rsid w:val="0023247A"/>
    <w:rsid w:val="00232D25"/>
    <w:rsid w:val="00233645"/>
    <w:rsid w:val="00235927"/>
    <w:rsid w:val="0023688D"/>
    <w:rsid w:val="002370F0"/>
    <w:rsid w:val="00237E46"/>
    <w:rsid w:val="00240A79"/>
    <w:rsid w:val="00240BE8"/>
    <w:rsid w:val="002427DB"/>
    <w:rsid w:val="00243B36"/>
    <w:rsid w:val="00243E82"/>
    <w:rsid w:val="00244BE7"/>
    <w:rsid w:val="002458DA"/>
    <w:rsid w:val="0024656A"/>
    <w:rsid w:val="00246EF2"/>
    <w:rsid w:val="0025041B"/>
    <w:rsid w:val="00251410"/>
    <w:rsid w:val="00252522"/>
    <w:rsid w:val="002527BD"/>
    <w:rsid w:val="00252BA9"/>
    <w:rsid w:val="00252C8E"/>
    <w:rsid w:val="0025434A"/>
    <w:rsid w:val="00254D37"/>
    <w:rsid w:val="00254D70"/>
    <w:rsid w:val="00256122"/>
    <w:rsid w:val="00260225"/>
    <w:rsid w:val="002606E8"/>
    <w:rsid w:val="00260D81"/>
    <w:rsid w:val="00261427"/>
    <w:rsid w:val="002617B2"/>
    <w:rsid w:val="002620CA"/>
    <w:rsid w:val="00263132"/>
    <w:rsid w:val="00264698"/>
    <w:rsid w:val="00264996"/>
    <w:rsid w:val="00264A31"/>
    <w:rsid w:val="00265F1E"/>
    <w:rsid w:val="00266A92"/>
    <w:rsid w:val="002670F4"/>
    <w:rsid w:val="00270676"/>
    <w:rsid w:val="00273230"/>
    <w:rsid w:val="002741F5"/>
    <w:rsid w:val="00274B1B"/>
    <w:rsid w:val="002764DE"/>
    <w:rsid w:val="00276879"/>
    <w:rsid w:val="00276F46"/>
    <w:rsid w:val="002770EA"/>
    <w:rsid w:val="00277D2B"/>
    <w:rsid w:val="0028209B"/>
    <w:rsid w:val="002838ED"/>
    <w:rsid w:val="002842E5"/>
    <w:rsid w:val="00284C33"/>
    <w:rsid w:val="00285094"/>
    <w:rsid w:val="00285474"/>
    <w:rsid w:val="002856A1"/>
    <w:rsid w:val="0028713E"/>
    <w:rsid w:val="002919D9"/>
    <w:rsid w:val="00291E43"/>
    <w:rsid w:val="00292618"/>
    <w:rsid w:val="002932A7"/>
    <w:rsid w:val="00293805"/>
    <w:rsid w:val="002945CB"/>
    <w:rsid w:val="00295E4F"/>
    <w:rsid w:val="00296764"/>
    <w:rsid w:val="002969B0"/>
    <w:rsid w:val="00296C15"/>
    <w:rsid w:val="0029751C"/>
    <w:rsid w:val="002978CD"/>
    <w:rsid w:val="002A1992"/>
    <w:rsid w:val="002A28AB"/>
    <w:rsid w:val="002A48BF"/>
    <w:rsid w:val="002A4DE1"/>
    <w:rsid w:val="002A4DE5"/>
    <w:rsid w:val="002A51C2"/>
    <w:rsid w:val="002A56DC"/>
    <w:rsid w:val="002A5BDA"/>
    <w:rsid w:val="002A5C7D"/>
    <w:rsid w:val="002A6176"/>
    <w:rsid w:val="002A61BE"/>
    <w:rsid w:val="002A66CF"/>
    <w:rsid w:val="002A6CAD"/>
    <w:rsid w:val="002B0C9A"/>
    <w:rsid w:val="002B10EE"/>
    <w:rsid w:val="002B25D4"/>
    <w:rsid w:val="002B2B51"/>
    <w:rsid w:val="002B4811"/>
    <w:rsid w:val="002B4EAC"/>
    <w:rsid w:val="002B54B4"/>
    <w:rsid w:val="002B5B8F"/>
    <w:rsid w:val="002B69AC"/>
    <w:rsid w:val="002B6CF7"/>
    <w:rsid w:val="002B72FA"/>
    <w:rsid w:val="002C08A5"/>
    <w:rsid w:val="002C23BA"/>
    <w:rsid w:val="002C2841"/>
    <w:rsid w:val="002C3080"/>
    <w:rsid w:val="002C37F5"/>
    <w:rsid w:val="002C38FD"/>
    <w:rsid w:val="002C39D2"/>
    <w:rsid w:val="002C3F42"/>
    <w:rsid w:val="002C5191"/>
    <w:rsid w:val="002C5D04"/>
    <w:rsid w:val="002C7CCB"/>
    <w:rsid w:val="002C7F17"/>
    <w:rsid w:val="002D0D3B"/>
    <w:rsid w:val="002D128F"/>
    <w:rsid w:val="002D1E8E"/>
    <w:rsid w:val="002D2321"/>
    <w:rsid w:val="002D2464"/>
    <w:rsid w:val="002D287A"/>
    <w:rsid w:val="002D2A99"/>
    <w:rsid w:val="002D2D03"/>
    <w:rsid w:val="002D5A09"/>
    <w:rsid w:val="002D5C6D"/>
    <w:rsid w:val="002D69B0"/>
    <w:rsid w:val="002D6BF4"/>
    <w:rsid w:val="002D6DE1"/>
    <w:rsid w:val="002D7096"/>
    <w:rsid w:val="002D79EB"/>
    <w:rsid w:val="002D7A70"/>
    <w:rsid w:val="002D7BE4"/>
    <w:rsid w:val="002E06A1"/>
    <w:rsid w:val="002E0D63"/>
    <w:rsid w:val="002E27F2"/>
    <w:rsid w:val="002E4458"/>
    <w:rsid w:val="002E4FD7"/>
    <w:rsid w:val="002E541F"/>
    <w:rsid w:val="002E687C"/>
    <w:rsid w:val="002E7CDB"/>
    <w:rsid w:val="002F0768"/>
    <w:rsid w:val="002F0AE0"/>
    <w:rsid w:val="002F1BFF"/>
    <w:rsid w:val="002F5113"/>
    <w:rsid w:val="002F52FF"/>
    <w:rsid w:val="002F55E6"/>
    <w:rsid w:val="002F7247"/>
    <w:rsid w:val="002F7509"/>
    <w:rsid w:val="002F793E"/>
    <w:rsid w:val="003003F0"/>
    <w:rsid w:val="00300552"/>
    <w:rsid w:val="003007C9"/>
    <w:rsid w:val="003011C1"/>
    <w:rsid w:val="00301230"/>
    <w:rsid w:val="0030191C"/>
    <w:rsid w:val="0030255F"/>
    <w:rsid w:val="00303203"/>
    <w:rsid w:val="00304097"/>
    <w:rsid w:val="00304485"/>
    <w:rsid w:val="003050A2"/>
    <w:rsid w:val="00310141"/>
    <w:rsid w:val="00310699"/>
    <w:rsid w:val="00310880"/>
    <w:rsid w:val="003122E8"/>
    <w:rsid w:val="003127CB"/>
    <w:rsid w:val="00313129"/>
    <w:rsid w:val="0031356F"/>
    <w:rsid w:val="00313A21"/>
    <w:rsid w:val="0031495B"/>
    <w:rsid w:val="00314966"/>
    <w:rsid w:val="00316B55"/>
    <w:rsid w:val="00320C58"/>
    <w:rsid w:val="00320F6F"/>
    <w:rsid w:val="00321AF7"/>
    <w:rsid w:val="00322B2D"/>
    <w:rsid w:val="00323E6E"/>
    <w:rsid w:val="003257B0"/>
    <w:rsid w:val="00326221"/>
    <w:rsid w:val="00326A97"/>
    <w:rsid w:val="00326E12"/>
    <w:rsid w:val="00327144"/>
    <w:rsid w:val="0032766F"/>
    <w:rsid w:val="003278A8"/>
    <w:rsid w:val="00331BEB"/>
    <w:rsid w:val="00331DB9"/>
    <w:rsid w:val="00331F06"/>
    <w:rsid w:val="0033267A"/>
    <w:rsid w:val="00333461"/>
    <w:rsid w:val="0033352A"/>
    <w:rsid w:val="00333683"/>
    <w:rsid w:val="00333A6F"/>
    <w:rsid w:val="0033406C"/>
    <w:rsid w:val="0033435F"/>
    <w:rsid w:val="0033491D"/>
    <w:rsid w:val="00335351"/>
    <w:rsid w:val="00336F2B"/>
    <w:rsid w:val="00337AD2"/>
    <w:rsid w:val="00337E9F"/>
    <w:rsid w:val="00337F59"/>
    <w:rsid w:val="00340509"/>
    <w:rsid w:val="003406D5"/>
    <w:rsid w:val="0034088C"/>
    <w:rsid w:val="003410B3"/>
    <w:rsid w:val="003416D2"/>
    <w:rsid w:val="00341B7A"/>
    <w:rsid w:val="00342315"/>
    <w:rsid w:val="00343157"/>
    <w:rsid w:val="00343253"/>
    <w:rsid w:val="0034356F"/>
    <w:rsid w:val="00345809"/>
    <w:rsid w:val="00345FE7"/>
    <w:rsid w:val="0034768B"/>
    <w:rsid w:val="00347B91"/>
    <w:rsid w:val="00352A37"/>
    <w:rsid w:val="003536A7"/>
    <w:rsid w:val="003536AE"/>
    <w:rsid w:val="00353E09"/>
    <w:rsid w:val="00354672"/>
    <w:rsid w:val="003547DA"/>
    <w:rsid w:val="0035534D"/>
    <w:rsid w:val="0035733C"/>
    <w:rsid w:val="00357AD1"/>
    <w:rsid w:val="00357B9C"/>
    <w:rsid w:val="003607B3"/>
    <w:rsid w:val="003613B5"/>
    <w:rsid w:val="00361CF2"/>
    <w:rsid w:val="00363B8C"/>
    <w:rsid w:val="00364235"/>
    <w:rsid w:val="003658D3"/>
    <w:rsid w:val="003679DC"/>
    <w:rsid w:val="00367A3F"/>
    <w:rsid w:val="00371B21"/>
    <w:rsid w:val="003721FB"/>
    <w:rsid w:val="0037399C"/>
    <w:rsid w:val="00373EE1"/>
    <w:rsid w:val="00373FD3"/>
    <w:rsid w:val="0037684E"/>
    <w:rsid w:val="00377084"/>
    <w:rsid w:val="00377809"/>
    <w:rsid w:val="00377A99"/>
    <w:rsid w:val="00380342"/>
    <w:rsid w:val="00380542"/>
    <w:rsid w:val="0038077C"/>
    <w:rsid w:val="00380E87"/>
    <w:rsid w:val="00380FD7"/>
    <w:rsid w:val="00382BDB"/>
    <w:rsid w:val="003850D1"/>
    <w:rsid w:val="00385509"/>
    <w:rsid w:val="003862B2"/>
    <w:rsid w:val="00390D0D"/>
    <w:rsid w:val="00392491"/>
    <w:rsid w:val="003932BA"/>
    <w:rsid w:val="003932F1"/>
    <w:rsid w:val="00393A27"/>
    <w:rsid w:val="00393DE1"/>
    <w:rsid w:val="003956D2"/>
    <w:rsid w:val="00395A25"/>
    <w:rsid w:val="00395BAC"/>
    <w:rsid w:val="00395E7E"/>
    <w:rsid w:val="00395FB1"/>
    <w:rsid w:val="0039715B"/>
    <w:rsid w:val="0039742E"/>
    <w:rsid w:val="003977DA"/>
    <w:rsid w:val="00397BE0"/>
    <w:rsid w:val="003A0254"/>
    <w:rsid w:val="003A0DEA"/>
    <w:rsid w:val="003A13CC"/>
    <w:rsid w:val="003A1E90"/>
    <w:rsid w:val="003A2313"/>
    <w:rsid w:val="003A3E31"/>
    <w:rsid w:val="003A4FBC"/>
    <w:rsid w:val="003A544A"/>
    <w:rsid w:val="003A574E"/>
    <w:rsid w:val="003A5751"/>
    <w:rsid w:val="003A5A45"/>
    <w:rsid w:val="003A5F8E"/>
    <w:rsid w:val="003A6432"/>
    <w:rsid w:val="003A645D"/>
    <w:rsid w:val="003A6881"/>
    <w:rsid w:val="003A6ACE"/>
    <w:rsid w:val="003A77D4"/>
    <w:rsid w:val="003A7F75"/>
    <w:rsid w:val="003B1058"/>
    <w:rsid w:val="003B1913"/>
    <w:rsid w:val="003B369B"/>
    <w:rsid w:val="003B38A9"/>
    <w:rsid w:val="003B407E"/>
    <w:rsid w:val="003B4AB3"/>
    <w:rsid w:val="003B570B"/>
    <w:rsid w:val="003B5FCB"/>
    <w:rsid w:val="003B6DC7"/>
    <w:rsid w:val="003B75CC"/>
    <w:rsid w:val="003B782D"/>
    <w:rsid w:val="003C03DA"/>
    <w:rsid w:val="003C15EA"/>
    <w:rsid w:val="003C24A7"/>
    <w:rsid w:val="003C3EEE"/>
    <w:rsid w:val="003C48B6"/>
    <w:rsid w:val="003C4C21"/>
    <w:rsid w:val="003C6E0F"/>
    <w:rsid w:val="003D0200"/>
    <w:rsid w:val="003D02AA"/>
    <w:rsid w:val="003D0B5D"/>
    <w:rsid w:val="003D0DA5"/>
    <w:rsid w:val="003D1FDB"/>
    <w:rsid w:val="003D241E"/>
    <w:rsid w:val="003D37D0"/>
    <w:rsid w:val="003D46B6"/>
    <w:rsid w:val="003D4EA5"/>
    <w:rsid w:val="003D5390"/>
    <w:rsid w:val="003D7134"/>
    <w:rsid w:val="003D7CD2"/>
    <w:rsid w:val="003E0231"/>
    <w:rsid w:val="003E0AAF"/>
    <w:rsid w:val="003E1691"/>
    <w:rsid w:val="003E1939"/>
    <w:rsid w:val="003E49CE"/>
    <w:rsid w:val="003E53EA"/>
    <w:rsid w:val="003E566D"/>
    <w:rsid w:val="003E573A"/>
    <w:rsid w:val="003E5B1E"/>
    <w:rsid w:val="003E624E"/>
    <w:rsid w:val="003E6D11"/>
    <w:rsid w:val="003E6D4C"/>
    <w:rsid w:val="003E7502"/>
    <w:rsid w:val="003E7CB2"/>
    <w:rsid w:val="003F04D4"/>
    <w:rsid w:val="003F0FB7"/>
    <w:rsid w:val="003F1FF8"/>
    <w:rsid w:val="003F2144"/>
    <w:rsid w:val="003F22FD"/>
    <w:rsid w:val="003F39F2"/>
    <w:rsid w:val="003F3BD1"/>
    <w:rsid w:val="003F447E"/>
    <w:rsid w:val="003F4532"/>
    <w:rsid w:val="003F4AB6"/>
    <w:rsid w:val="003F56BD"/>
    <w:rsid w:val="003F5E75"/>
    <w:rsid w:val="003F6225"/>
    <w:rsid w:val="003F67E4"/>
    <w:rsid w:val="003F6CC8"/>
    <w:rsid w:val="003F7D18"/>
    <w:rsid w:val="004000CE"/>
    <w:rsid w:val="00400AB9"/>
    <w:rsid w:val="00401957"/>
    <w:rsid w:val="00403B44"/>
    <w:rsid w:val="00404A2A"/>
    <w:rsid w:val="00404FB9"/>
    <w:rsid w:val="00410037"/>
    <w:rsid w:val="004106AB"/>
    <w:rsid w:val="00411E0F"/>
    <w:rsid w:val="004125C8"/>
    <w:rsid w:val="00412900"/>
    <w:rsid w:val="00412B2F"/>
    <w:rsid w:val="00413903"/>
    <w:rsid w:val="00414BA0"/>
    <w:rsid w:val="00415D21"/>
    <w:rsid w:val="004171DC"/>
    <w:rsid w:val="00417409"/>
    <w:rsid w:val="004174BE"/>
    <w:rsid w:val="00420D62"/>
    <w:rsid w:val="00420F15"/>
    <w:rsid w:val="004214A7"/>
    <w:rsid w:val="00421640"/>
    <w:rsid w:val="0042175E"/>
    <w:rsid w:val="00421B61"/>
    <w:rsid w:val="004222AD"/>
    <w:rsid w:val="004238DF"/>
    <w:rsid w:val="00423EA8"/>
    <w:rsid w:val="00424776"/>
    <w:rsid w:val="00424AD6"/>
    <w:rsid w:val="00424B48"/>
    <w:rsid w:val="00425392"/>
    <w:rsid w:val="0042723A"/>
    <w:rsid w:val="00427520"/>
    <w:rsid w:val="00427C3B"/>
    <w:rsid w:val="004302E8"/>
    <w:rsid w:val="00431793"/>
    <w:rsid w:val="0043187C"/>
    <w:rsid w:val="0043380D"/>
    <w:rsid w:val="0043399D"/>
    <w:rsid w:val="00433D3D"/>
    <w:rsid w:val="00434E64"/>
    <w:rsid w:val="0043501B"/>
    <w:rsid w:val="00435465"/>
    <w:rsid w:val="00436B9E"/>
    <w:rsid w:val="00436E6B"/>
    <w:rsid w:val="00437837"/>
    <w:rsid w:val="00437EB6"/>
    <w:rsid w:val="004408C8"/>
    <w:rsid w:val="00442330"/>
    <w:rsid w:val="00443933"/>
    <w:rsid w:val="00443A99"/>
    <w:rsid w:val="00445868"/>
    <w:rsid w:val="0044677D"/>
    <w:rsid w:val="00446F7F"/>
    <w:rsid w:val="004500D5"/>
    <w:rsid w:val="0045145B"/>
    <w:rsid w:val="00452C46"/>
    <w:rsid w:val="00452FCC"/>
    <w:rsid w:val="00453AD7"/>
    <w:rsid w:val="00453DF1"/>
    <w:rsid w:val="00454515"/>
    <w:rsid w:val="004548E8"/>
    <w:rsid w:val="00454A8D"/>
    <w:rsid w:val="00456A77"/>
    <w:rsid w:val="00456E55"/>
    <w:rsid w:val="004578BE"/>
    <w:rsid w:val="00457B26"/>
    <w:rsid w:val="0046047D"/>
    <w:rsid w:val="00460D01"/>
    <w:rsid w:val="00460FA3"/>
    <w:rsid w:val="0046119E"/>
    <w:rsid w:val="0046186E"/>
    <w:rsid w:val="00461B8F"/>
    <w:rsid w:val="004626EE"/>
    <w:rsid w:val="00463438"/>
    <w:rsid w:val="00463466"/>
    <w:rsid w:val="00463C33"/>
    <w:rsid w:val="0046432C"/>
    <w:rsid w:val="004648F8"/>
    <w:rsid w:val="00464CF9"/>
    <w:rsid w:val="00465044"/>
    <w:rsid w:val="0046649A"/>
    <w:rsid w:val="00466BC0"/>
    <w:rsid w:val="00466BE9"/>
    <w:rsid w:val="0046712E"/>
    <w:rsid w:val="004672FC"/>
    <w:rsid w:val="00467448"/>
    <w:rsid w:val="00467BF2"/>
    <w:rsid w:val="00467D4A"/>
    <w:rsid w:val="00470641"/>
    <w:rsid w:val="0047071A"/>
    <w:rsid w:val="00473052"/>
    <w:rsid w:val="00474352"/>
    <w:rsid w:val="0047453B"/>
    <w:rsid w:val="00474C47"/>
    <w:rsid w:val="004769D8"/>
    <w:rsid w:val="00476A86"/>
    <w:rsid w:val="00477D74"/>
    <w:rsid w:val="00477E81"/>
    <w:rsid w:val="004806B1"/>
    <w:rsid w:val="00480B9F"/>
    <w:rsid w:val="004819CA"/>
    <w:rsid w:val="00482E36"/>
    <w:rsid w:val="00484193"/>
    <w:rsid w:val="00486FC3"/>
    <w:rsid w:val="00487052"/>
    <w:rsid w:val="00487806"/>
    <w:rsid w:val="00487A93"/>
    <w:rsid w:val="00487B55"/>
    <w:rsid w:val="00487C35"/>
    <w:rsid w:val="00487EEF"/>
    <w:rsid w:val="004905C0"/>
    <w:rsid w:val="004906B2"/>
    <w:rsid w:val="00491555"/>
    <w:rsid w:val="004916A7"/>
    <w:rsid w:val="00492257"/>
    <w:rsid w:val="00492E68"/>
    <w:rsid w:val="004939EB"/>
    <w:rsid w:val="00493CC1"/>
    <w:rsid w:val="004948A3"/>
    <w:rsid w:val="0049516F"/>
    <w:rsid w:val="004951F5"/>
    <w:rsid w:val="004960F3"/>
    <w:rsid w:val="004962EC"/>
    <w:rsid w:val="004965A8"/>
    <w:rsid w:val="00496C20"/>
    <w:rsid w:val="00496F0F"/>
    <w:rsid w:val="00497864"/>
    <w:rsid w:val="004978F1"/>
    <w:rsid w:val="00497A77"/>
    <w:rsid w:val="004A11F6"/>
    <w:rsid w:val="004A2CB4"/>
    <w:rsid w:val="004A49D1"/>
    <w:rsid w:val="004A50CD"/>
    <w:rsid w:val="004A5E09"/>
    <w:rsid w:val="004A5E4F"/>
    <w:rsid w:val="004A6699"/>
    <w:rsid w:val="004A6A71"/>
    <w:rsid w:val="004A6EA2"/>
    <w:rsid w:val="004A6EB2"/>
    <w:rsid w:val="004A7569"/>
    <w:rsid w:val="004A75AF"/>
    <w:rsid w:val="004A75D0"/>
    <w:rsid w:val="004B032F"/>
    <w:rsid w:val="004B047F"/>
    <w:rsid w:val="004B1300"/>
    <w:rsid w:val="004B2439"/>
    <w:rsid w:val="004B63DD"/>
    <w:rsid w:val="004B7D08"/>
    <w:rsid w:val="004C1360"/>
    <w:rsid w:val="004C17DA"/>
    <w:rsid w:val="004C1BC9"/>
    <w:rsid w:val="004C2030"/>
    <w:rsid w:val="004C3940"/>
    <w:rsid w:val="004C3D99"/>
    <w:rsid w:val="004C54CF"/>
    <w:rsid w:val="004C5696"/>
    <w:rsid w:val="004C7564"/>
    <w:rsid w:val="004C7700"/>
    <w:rsid w:val="004C7BFB"/>
    <w:rsid w:val="004D0C94"/>
    <w:rsid w:val="004D14B1"/>
    <w:rsid w:val="004D18B7"/>
    <w:rsid w:val="004D304E"/>
    <w:rsid w:val="004D3343"/>
    <w:rsid w:val="004D3F90"/>
    <w:rsid w:val="004D41B2"/>
    <w:rsid w:val="004D42D9"/>
    <w:rsid w:val="004D439A"/>
    <w:rsid w:val="004D45F7"/>
    <w:rsid w:val="004D4669"/>
    <w:rsid w:val="004D589B"/>
    <w:rsid w:val="004D6269"/>
    <w:rsid w:val="004D67D4"/>
    <w:rsid w:val="004D696F"/>
    <w:rsid w:val="004D6F79"/>
    <w:rsid w:val="004D766F"/>
    <w:rsid w:val="004D7ED8"/>
    <w:rsid w:val="004D7F95"/>
    <w:rsid w:val="004E0455"/>
    <w:rsid w:val="004E10A6"/>
    <w:rsid w:val="004E1D40"/>
    <w:rsid w:val="004E1F8A"/>
    <w:rsid w:val="004E279F"/>
    <w:rsid w:val="004E3928"/>
    <w:rsid w:val="004E45D8"/>
    <w:rsid w:val="004E51A4"/>
    <w:rsid w:val="004E70EA"/>
    <w:rsid w:val="004E716D"/>
    <w:rsid w:val="004F0034"/>
    <w:rsid w:val="004F0CC1"/>
    <w:rsid w:val="004F0ECD"/>
    <w:rsid w:val="004F1BF5"/>
    <w:rsid w:val="004F293A"/>
    <w:rsid w:val="004F2EE8"/>
    <w:rsid w:val="004F67D0"/>
    <w:rsid w:val="00500DE0"/>
    <w:rsid w:val="00500F84"/>
    <w:rsid w:val="00501B73"/>
    <w:rsid w:val="00501E84"/>
    <w:rsid w:val="005042A3"/>
    <w:rsid w:val="0050499E"/>
    <w:rsid w:val="00505393"/>
    <w:rsid w:val="005057AB"/>
    <w:rsid w:val="00505872"/>
    <w:rsid w:val="00505899"/>
    <w:rsid w:val="0050696A"/>
    <w:rsid w:val="005100A7"/>
    <w:rsid w:val="0051019A"/>
    <w:rsid w:val="00510226"/>
    <w:rsid w:val="005106D6"/>
    <w:rsid w:val="005108AF"/>
    <w:rsid w:val="00510CA8"/>
    <w:rsid w:val="005118B8"/>
    <w:rsid w:val="00511E5F"/>
    <w:rsid w:val="00512583"/>
    <w:rsid w:val="00512E97"/>
    <w:rsid w:val="00513438"/>
    <w:rsid w:val="00513F49"/>
    <w:rsid w:val="00514191"/>
    <w:rsid w:val="00514298"/>
    <w:rsid w:val="00515288"/>
    <w:rsid w:val="00516099"/>
    <w:rsid w:val="00516A88"/>
    <w:rsid w:val="00516B7C"/>
    <w:rsid w:val="00517410"/>
    <w:rsid w:val="00517906"/>
    <w:rsid w:val="0052068F"/>
    <w:rsid w:val="0052120A"/>
    <w:rsid w:val="005213D7"/>
    <w:rsid w:val="00521BBF"/>
    <w:rsid w:val="0052234B"/>
    <w:rsid w:val="00522918"/>
    <w:rsid w:val="00524D0A"/>
    <w:rsid w:val="00524F53"/>
    <w:rsid w:val="00525F0D"/>
    <w:rsid w:val="00525FEB"/>
    <w:rsid w:val="005260FF"/>
    <w:rsid w:val="00527A67"/>
    <w:rsid w:val="00527B97"/>
    <w:rsid w:val="00530548"/>
    <w:rsid w:val="00532309"/>
    <w:rsid w:val="00532B41"/>
    <w:rsid w:val="00532F3D"/>
    <w:rsid w:val="00533BA4"/>
    <w:rsid w:val="0053402A"/>
    <w:rsid w:val="005341DB"/>
    <w:rsid w:val="005357F4"/>
    <w:rsid w:val="00535DB8"/>
    <w:rsid w:val="00536F26"/>
    <w:rsid w:val="0053713D"/>
    <w:rsid w:val="005376E6"/>
    <w:rsid w:val="005377D0"/>
    <w:rsid w:val="00541853"/>
    <w:rsid w:val="00541E30"/>
    <w:rsid w:val="005420CC"/>
    <w:rsid w:val="00542548"/>
    <w:rsid w:val="00543102"/>
    <w:rsid w:val="005439CF"/>
    <w:rsid w:val="00543D20"/>
    <w:rsid w:val="00544E77"/>
    <w:rsid w:val="00544FB4"/>
    <w:rsid w:val="00545AFD"/>
    <w:rsid w:val="005460CC"/>
    <w:rsid w:val="00546A77"/>
    <w:rsid w:val="0054770F"/>
    <w:rsid w:val="00550540"/>
    <w:rsid w:val="00552146"/>
    <w:rsid w:val="00552A1B"/>
    <w:rsid w:val="00552D1E"/>
    <w:rsid w:val="00552E05"/>
    <w:rsid w:val="00553E54"/>
    <w:rsid w:val="005543EE"/>
    <w:rsid w:val="00554761"/>
    <w:rsid w:val="00554B0F"/>
    <w:rsid w:val="00556A61"/>
    <w:rsid w:val="00556E2F"/>
    <w:rsid w:val="005573CC"/>
    <w:rsid w:val="005579CB"/>
    <w:rsid w:val="00557A30"/>
    <w:rsid w:val="00557B76"/>
    <w:rsid w:val="00560ABA"/>
    <w:rsid w:val="00562734"/>
    <w:rsid w:val="00562AF7"/>
    <w:rsid w:val="00562F3C"/>
    <w:rsid w:val="00564912"/>
    <w:rsid w:val="0056689B"/>
    <w:rsid w:val="00566E34"/>
    <w:rsid w:val="00567486"/>
    <w:rsid w:val="00567909"/>
    <w:rsid w:val="0056797C"/>
    <w:rsid w:val="00567F12"/>
    <w:rsid w:val="00570A5D"/>
    <w:rsid w:val="00571148"/>
    <w:rsid w:val="00573096"/>
    <w:rsid w:val="005739CE"/>
    <w:rsid w:val="00574F4C"/>
    <w:rsid w:val="00576A47"/>
    <w:rsid w:val="00576B7F"/>
    <w:rsid w:val="00576FE3"/>
    <w:rsid w:val="00577B7D"/>
    <w:rsid w:val="005822CD"/>
    <w:rsid w:val="005832EB"/>
    <w:rsid w:val="00584787"/>
    <w:rsid w:val="00584D00"/>
    <w:rsid w:val="00584D65"/>
    <w:rsid w:val="005854E0"/>
    <w:rsid w:val="005856C9"/>
    <w:rsid w:val="00587C33"/>
    <w:rsid w:val="00590916"/>
    <w:rsid w:val="00591695"/>
    <w:rsid w:val="00592500"/>
    <w:rsid w:val="0059310F"/>
    <w:rsid w:val="00593E78"/>
    <w:rsid w:val="00594C17"/>
    <w:rsid w:val="005951D3"/>
    <w:rsid w:val="00595212"/>
    <w:rsid w:val="005959FA"/>
    <w:rsid w:val="005966B2"/>
    <w:rsid w:val="005971E1"/>
    <w:rsid w:val="005A1ACA"/>
    <w:rsid w:val="005A1D9F"/>
    <w:rsid w:val="005A2113"/>
    <w:rsid w:val="005A22D1"/>
    <w:rsid w:val="005A2495"/>
    <w:rsid w:val="005A458A"/>
    <w:rsid w:val="005A4C40"/>
    <w:rsid w:val="005A51D4"/>
    <w:rsid w:val="005A5AD0"/>
    <w:rsid w:val="005A5DBB"/>
    <w:rsid w:val="005A5DC8"/>
    <w:rsid w:val="005A74F4"/>
    <w:rsid w:val="005A7CB4"/>
    <w:rsid w:val="005B0010"/>
    <w:rsid w:val="005B0047"/>
    <w:rsid w:val="005B024B"/>
    <w:rsid w:val="005B0DF2"/>
    <w:rsid w:val="005B1476"/>
    <w:rsid w:val="005B15A7"/>
    <w:rsid w:val="005B1B26"/>
    <w:rsid w:val="005B210F"/>
    <w:rsid w:val="005B2633"/>
    <w:rsid w:val="005B43A6"/>
    <w:rsid w:val="005B5E93"/>
    <w:rsid w:val="005B6881"/>
    <w:rsid w:val="005B6B0D"/>
    <w:rsid w:val="005B714B"/>
    <w:rsid w:val="005B74C3"/>
    <w:rsid w:val="005C01A8"/>
    <w:rsid w:val="005C0DE1"/>
    <w:rsid w:val="005C10EB"/>
    <w:rsid w:val="005C1211"/>
    <w:rsid w:val="005C17D4"/>
    <w:rsid w:val="005C1B4D"/>
    <w:rsid w:val="005C2145"/>
    <w:rsid w:val="005C46F8"/>
    <w:rsid w:val="005C5A89"/>
    <w:rsid w:val="005C607E"/>
    <w:rsid w:val="005C672F"/>
    <w:rsid w:val="005C67DB"/>
    <w:rsid w:val="005C73A7"/>
    <w:rsid w:val="005C74B6"/>
    <w:rsid w:val="005C7538"/>
    <w:rsid w:val="005C7886"/>
    <w:rsid w:val="005C7AC2"/>
    <w:rsid w:val="005D0922"/>
    <w:rsid w:val="005D1172"/>
    <w:rsid w:val="005D1B61"/>
    <w:rsid w:val="005D1EFD"/>
    <w:rsid w:val="005D3172"/>
    <w:rsid w:val="005D4679"/>
    <w:rsid w:val="005D4E03"/>
    <w:rsid w:val="005D512C"/>
    <w:rsid w:val="005D5618"/>
    <w:rsid w:val="005D5783"/>
    <w:rsid w:val="005D62CA"/>
    <w:rsid w:val="005D7C21"/>
    <w:rsid w:val="005E06E2"/>
    <w:rsid w:val="005E09B4"/>
    <w:rsid w:val="005E19BC"/>
    <w:rsid w:val="005E2A2C"/>
    <w:rsid w:val="005E4203"/>
    <w:rsid w:val="005E5415"/>
    <w:rsid w:val="005E5925"/>
    <w:rsid w:val="005E6C35"/>
    <w:rsid w:val="005E7107"/>
    <w:rsid w:val="005E7C80"/>
    <w:rsid w:val="005E7D95"/>
    <w:rsid w:val="005E7F0F"/>
    <w:rsid w:val="005F00EA"/>
    <w:rsid w:val="005F0F6E"/>
    <w:rsid w:val="005F1EC6"/>
    <w:rsid w:val="005F391A"/>
    <w:rsid w:val="005F455A"/>
    <w:rsid w:val="005F566B"/>
    <w:rsid w:val="005F601D"/>
    <w:rsid w:val="005F610C"/>
    <w:rsid w:val="005F642F"/>
    <w:rsid w:val="005F6F46"/>
    <w:rsid w:val="005F7307"/>
    <w:rsid w:val="005F7595"/>
    <w:rsid w:val="0060270B"/>
    <w:rsid w:val="006029E3"/>
    <w:rsid w:val="006043BD"/>
    <w:rsid w:val="006062EA"/>
    <w:rsid w:val="0060639A"/>
    <w:rsid w:val="00610130"/>
    <w:rsid w:val="00610499"/>
    <w:rsid w:val="00610E7D"/>
    <w:rsid w:val="0061153E"/>
    <w:rsid w:val="006133CA"/>
    <w:rsid w:val="00613526"/>
    <w:rsid w:val="006136EA"/>
    <w:rsid w:val="00614058"/>
    <w:rsid w:val="006144AF"/>
    <w:rsid w:val="00614EEC"/>
    <w:rsid w:val="0061678B"/>
    <w:rsid w:val="00616A4D"/>
    <w:rsid w:val="00617A77"/>
    <w:rsid w:val="00620589"/>
    <w:rsid w:val="00620966"/>
    <w:rsid w:val="006209B5"/>
    <w:rsid w:val="00620EA6"/>
    <w:rsid w:val="00621942"/>
    <w:rsid w:val="00621C91"/>
    <w:rsid w:val="00621FE4"/>
    <w:rsid w:val="00623097"/>
    <w:rsid w:val="00623476"/>
    <w:rsid w:val="00623781"/>
    <w:rsid w:val="00624456"/>
    <w:rsid w:val="006259FD"/>
    <w:rsid w:val="006260A7"/>
    <w:rsid w:val="006268CF"/>
    <w:rsid w:val="006270D9"/>
    <w:rsid w:val="006273A3"/>
    <w:rsid w:val="0062763A"/>
    <w:rsid w:val="006303BE"/>
    <w:rsid w:val="0063101A"/>
    <w:rsid w:val="00631641"/>
    <w:rsid w:val="00631D22"/>
    <w:rsid w:val="00632779"/>
    <w:rsid w:val="00632875"/>
    <w:rsid w:val="006345BE"/>
    <w:rsid w:val="00634668"/>
    <w:rsid w:val="00634737"/>
    <w:rsid w:val="0063490F"/>
    <w:rsid w:val="00634AF4"/>
    <w:rsid w:val="00634BAC"/>
    <w:rsid w:val="0063678C"/>
    <w:rsid w:val="0063713C"/>
    <w:rsid w:val="00637DA1"/>
    <w:rsid w:val="006401B1"/>
    <w:rsid w:val="0064078B"/>
    <w:rsid w:val="00640B44"/>
    <w:rsid w:val="00641311"/>
    <w:rsid w:val="006413D2"/>
    <w:rsid w:val="00641B57"/>
    <w:rsid w:val="00641B80"/>
    <w:rsid w:val="006429A5"/>
    <w:rsid w:val="00642F29"/>
    <w:rsid w:val="0064394D"/>
    <w:rsid w:val="006440D4"/>
    <w:rsid w:val="00644794"/>
    <w:rsid w:val="006458BE"/>
    <w:rsid w:val="006502A0"/>
    <w:rsid w:val="0065033B"/>
    <w:rsid w:val="0065072E"/>
    <w:rsid w:val="006517E7"/>
    <w:rsid w:val="0065263F"/>
    <w:rsid w:val="00653B3C"/>
    <w:rsid w:val="00653D50"/>
    <w:rsid w:val="00654021"/>
    <w:rsid w:val="006540BC"/>
    <w:rsid w:val="00655025"/>
    <w:rsid w:val="00655382"/>
    <w:rsid w:val="00656B41"/>
    <w:rsid w:val="006570C6"/>
    <w:rsid w:val="006571D3"/>
    <w:rsid w:val="006573E0"/>
    <w:rsid w:val="006622A3"/>
    <w:rsid w:val="00662E1E"/>
    <w:rsid w:val="00662FA0"/>
    <w:rsid w:val="006643F0"/>
    <w:rsid w:val="00664ECC"/>
    <w:rsid w:val="00664EDB"/>
    <w:rsid w:val="00664EDE"/>
    <w:rsid w:val="006650B8"/>
    <w:rsid w:val="00666B0D"/>
    <w:rsid w:val="00667D67"/>
    <w:rsid w:val="006701B7"/>
    <w:rsid w:val="00670205"/>
    <w:rsid w:val="006708BA"/>
    <w:rsid w:val="00670A60"/>
    <w:rsid w:val="006719D9"/>
    <w:rsid w:val="006727B8"/>
    <w:rsid w:val="00672CE6"/>
    <w:rsid w:val="00673D6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5C6D"/>
    <w:rsid w:val="006862EF"/>
    <w:rsid w:val="0068636C"/>
    <w:rsid w:val="00686EC1"/>
    <w:rsid w:val="00692A9B"/>
    <w:rsid w:val="00696015"/>
    <w:rsid w:val="00696C3A"/>
    <w:rsid w:val="00697F75"/>
    <w:rsid w:val="006A0ABC"/>
    <w:rsid w:val="006A0C3C"/>
    <w:rsid w:val="006A0FD9"/>
    <w:rsid w:val="006A156E"/>
    <w:rsid w:val="006A20F6"/>
    <w:rsid w:val="006A40F7"/>
    <w:rsid w:val="006A4AA2"/>
    <w:rsid w:val="006A5665"/>
    <w:rsid w:val="006A6CD8"/>
    <w:rsid w:val="006A7965"/>
    <w:rsid w:val="006B0C0C"/>
    <w:rsid w:val="006B103F"/>
    <w:rsid w:val="006B1F83"/>
    <w:rsid w:val="006B2337"/>
    <w:rsid w:val="006B2572"/>
    <w:rsid w:val="006B29D0"/>
    <w:rsid w:val="006B3048"/>
    <w:rsid w:val="006B544D"/>
    <w:rsid w:val="006B6A9B"/>
    <w:rsid w:val="006C15EF"/>
    <w:rsid w:val="006C18D2"/>
    <w:rsid w:val="006C2956"/>
    <w:rsid w:val="006C2A45"/>
    <w:rsid w:val="006C2A51"/>
    <w:rsid w:val="006C358E"/>
    <w:rsid w:val="006C4F76"/>
    <w:rsid w:val="006C50EC"/>
    <w:rsid w:val="006C53A5"/>
    <w:rsid w:val="006C5C2F"/>
    <w:rsid w:val="006C6EB2"/>
    <w:rsid w:val="006C7568"/>
    <w:rsid w:val="006D06C9"/>
    <w:rsid w:val="006D1462"/>
    <w:rsid w:val="006D20E2"/>
    <w:rsid w:val="006D259E"/>
    <w:rsid w:val="006D2873"/>
    <w:rsid w:val="006D2A28"/>
    <w:rsid w:val="006D2C5B"/>
    <w:rsid w:val="006D31B0"/>
    <w:rsid w:val="006D3C92"/>
    <w:rsid w:val="006D44FD"/>
    <w:rsid w:val="006D5151"/>
    <w:rsid w:val="006D5336"/>
    <w:rsid w:val="006D5AE3"/>
    <w:rsid w:val="006D5E20"/>
    <w:rsid w:val="006D6BA0"/>
    <w:rsid w:val="006E011D"/>
    <w:rsid w:val="006E0A28"/>
    <w:rsid w:val="006E21BC"/>
    <w:rsid w:val="006E261B"/>
    <w:rsid w:val="006E2769"/>
    <w:rsid w:val="006E2A52"/>
    <w:rsid w:val="006E3E0B"/>
    <w:rsid w:val="006E4CBC"/>
    <w:rsid w:val="006E6BD0"/>
    <w:rsid w:val="006E7EFD"/>
    <w:rsid w:val="006F0BFD"/>
    <w:rsid w:val="006F3B5E"/>
    <w:rsid w:val="006F44C9"/>
    <w:rsid w:val="006F4C31"/>
    <w:rsid w:val="006F5B76"/>
    <w:rsid w:val="006F5F70"/>
    <w:rsid w:val="006F6491"/>
    <w:rsid w:val="006F794B"/>
    <w:rsid w:val="006F7D5F"/>
    <w:rsid w:val="006F7E9B"/>
    <w:rsid w:val="00700277"/>
    <w:rsid w:val="007009E1"/>
    <w:rsid w:val="00701BD5"/>
    <w:rsid w:val="00701D19"/>
    <w:rsid w:val="00702560"/>
    <w:rsid w:val="00702C76"/>
    <w:rsid w:val="00704804"/>
    <w:rsid w:val="00704890"/>
    <w:rsid w:val="0070598E"/>
    <w:rsid w:val="00705E12"/>
    <w:rsid w:val="007068CE"/>
    <w:rsid w:val="00706BF1"/>
    <w:rsid w:val="00707371"/>
    <w:rsid w:val="007078B5"/>
    <w:rsid w:val="00710BED"/>
    <w:rsid w:val="00710E20"/>
    <w:rsid w:val="00711023"/>
    <w:rsid w:val="00712183"/>
    <w:rsid w:val="007126F9"/>
    <w:rsid w:val="007129D0"/>
    <w:rsid w:val="00713A0B"/>
    <w:rsid w:val="007142F9"/>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86F"/>
    <w:rsid w:val="00725CF0"/>
    <w:rsid w:val="0072675A"/>
    <w:rsid w:val="00726861"/>
    <w:rsid w:val="00727C35"/>
    <w:rsid w:val="00731836"/>
    <w:rsid w:val="00732A4E"/>
    <w:rsid w:val="00732C2D"/>
    <w:rsid w:val="0073478E"/>
    <w:rsid w:val="00734F29"/>
    <w:rsid w:val="00736014"/>
    <w:rsid w:val="007365D6"/>
    <w:rsid w:val="00736C74"/>
    <w:rsid w:val="00740EC5"/>
    <w:rsid w:val="007422A7"/>
    <w:rsid w:val="007429D4"/>
    <w:rsid w:val="00742C1F"/>
    <w:rsid w:val="007432E8"/>
    <w:rsid w:val="00743C14"/>
    <w:rsid w:val="00744766"/>
    <w:rsid w:val="00745286"/>
    <w:rsid w:val="00747557"/>
    <w:rsid w:val="00747788"/>
    <w:rsid w:val="00747A59"/>
    <w:rsid w:val="00750099"/>
    <w:rsid w:val="00750165"/>
    <w:rsid w:val="007503B7"/>
    <w:rsid w:val="00750909"/>
    <w:rsid w:val="00751A33"/>
    <w:rsid w:val="00753CAF"/>
    <w:rsid w:val="00755E96"/>
    <w:rsid w:val="00756244"/>
    <w:rsid w:val="007572AB"/>
    <w:rsid w:val="0075782E"/>
    <w:rsid w:val="00761C67"/>
    <w:rsid w:val="00762296"/>
    <w:rsid w:val="00763A23"/>
    <w:rsid w:val="007642DC"/>
    <w:rsid w:val="00766729"/>
    <w:rsid w:val="00766779"/>
    <w:rsid w:val="0076703B"/>
    <w:rsid w:val="00767681"/>
    <w:rsid w:val="00770EAD"/>
    <w:rsid w:val="007711F7"/>
    <w:rsid w:val="00771984"/>
    <w:rsid w:val="00771B22"/>
    <w:rsid w:val="00772BF8"/>
    <w:rsid w:val="00772D9C"/>
    <w:rsid w:val="00772E16"/>
    <w:rsid w:val="00776931"/>
    <w:rsid w:val="007769FB"/>
    <w:rsid w:val="0077729C"/>
    <w:rsid w:val="00777353"/>
    <w:rsid w:val="0077740B"/>
    <w:rsid w:val="00780758"/>
    <w:rsid w:val="00781586"/>
    <w:rsid w:val="00781915"/>
    <w:rsid w:val="00781D14"/>
    <w:rsid w:val="007846AC"/>
    <w:rsid w:val="007851B2"/>
    <w:rsid w:val="00785FF6"/>
    <w:rsid w:val="0078634B"/>
    <w:rsid w:val="0078662F"/>
    <w:rsid w:val="00786918"/>
    <w:rsid w:val="00786DA6"/>
    <w:rsid w:val="00787985"/>
    <w:rsid w:val="0079049E"/>
    <w:rsid w:val="00790E86"/>
    <w:rsid w:val="007910FA"/>
    <w:rsid w:val="007920C7"/>
    <w:rsid w:val="007922E9"/>
    <w:rsid w:val="00792439"/>
    <w:rsid w:val="00792AE3"/>
    <w:rsid w:val="00793A0A"/>
    <w:rsid w:val="007951BD"/>
    <w:rsid w:val="00795E55"/>
    <w:rsid w:val="00796999"/>
    <w:rsid w:val="0079759C"/>
    <w:rsid w:val="007A0313"/>
    <w:rsid w:val="007A0B40"/>
    <w:rsid w:val="007A0CF1"/>
    <w:rsid w:val="007A198B"/>
    <w:rsid w:val="007A1AB4"/>
    <w:rsid w:val="007A31A0"/>
    <w:rsid w:val="007A4215"/>
    <w:rsid w:val="007A5491"/>
    <w:rsid w:val="007A6BEB"/>
    <w:rsid w:val="007B0A6B"/>
    <w:rsid w:val="007B1046"/>
    <w:rsid w:val="007B1770"/>
    <w:rsid w:val="007B1B5A"/>
    <w:rsid w:val="007B3163"/>
    <w:rsid w:val="007B36CA"/>
    <w:rsid w:val="007B3AE1"/>
    <w:rsid w:val="007B43AD"/>
    <w:rsid w:val="007B4420"/>
    <w:rsid w:val="007B445D"/>
    <w:rsid w:val="007B57EA"/>
    <w:rsid w:val="007B5EE5"/>
    <w:rsid w:val="007B5FB9"/>
    <w:rsid w:val="007B6739"/>
    <w:rsid w:val="007B6BA9"/>
    <w:rsid w:val="007B6FB8"/>
    <w:rsid w:val="007C1791"/>
    <w:rsid w:val="007C20B9"/>
    <w:rsid w:val="007C2711"/>
    <w:rsid w:val="007C2D49"/>
    <w:rsid w:val="007C3DED"/>
    <w:rsid w:val="007C3E6B"/>
    <w:rsid w:val="007C4167"/>
    <w:rsid w:val="007C583A"/>
    <w:rsid w:val="007C594D"/>
    <w:rsid w:val="007C620C"/>
    <w:rsid w:val="007C722C"/>
    <w:rsid w:val="007C7425"/>
    <w:rsid w:val="007C773A"/>
    <w:rsid w:val="007C7C00"/>
    <w:rsid w:val="007D170C"/>
    <w:rsid w:val="007D1857"/>
    <w:rsid w:val="007D2025"/>
    <w:rsid w:val="007D2A42"/>
    <w:rsid w:val="007D32FD"/>
    <w:rsid w:val="007D6043"/>
    <w:rsid w:val="007D66B5"/>
    <w:rsid w:val="007E13C4"/>
    <w:rsid w:val="007E2D81"/>
    <w:rsid w:val="007E32F9"/>
    <w:rsid w:val="007E39AB"/>
    <w:rsid w:val="007E3B70"/>
    <w:rsid w:val="007E455E"/>
    <w:rsid w:val="007E4708"/>
    <w:rsid w:val="007E4BE1"/>
    <w:rsid w:val="007E4DFB"/>
    <w:rsid w:val="007E5236"/>
    <w:rsid w:val="007E5F03"/>
    <w:rsid w:val="007E6C06"/>
    <w:rsid w:val="007E7365"/>
    <w:rsid w:val="007E7709"/>
    <w:rsid w:val="007E7787"/>
    <w:rsid w:val="007F0263"/>
    <w:rsid w:val="007F0430"/>
    <w:rsid w:val="007F07A7"/>
    <w:rsid w:val="007F2FFB"/>
    <w:rsid w:val="007F3D2B"/>
    <w:rsid w:val="007F5F65"/>
    <w:rsid w:val="007F6A77"/>
    <w:rsid w:val="00800D0F"/>
    <w:rsid w:val="00802C3D"/>
    <w:rsid w:val="00804007"/>
    <w:rsid w:val="008046B6"/>
    <w:rsid w:val="00804AD0"/>
    <w:rsid w:val="00804EC6"/>
    <w:rsid w:val="008071BB"/>
    <w:rsid w:val="008076B2"/>
    <w:rsid w:val="00807B61"/>
    <w:rsid w:val="00811B5E"/>
    <w:rsid w:val="00812AF5"/>
    <w:rsid w:val="008134AD"/>
    <w:rsid w:val="00813A5C"/>
    <w:rsid w:val="00813F81"/>
    <w:rsid w:val="00814246"/>
    <w:rsid w:val="00814A3E"/>
    <w:rsid w:val="0081545A"/>
    <w:rsid w:val="00815CFB"/>
    <w:rsid w:val="008162EF"/>
    <w:rsid w:val="008202B3"/>
    <w:rsid w:val="008205F3"/>
    <w:rsid w:val="00820CDB"/>
    <w:rsid w:val="008217C5"/>
    <w:rsid w:val="00821EB2"/>
    <w:rsid w:val="00822606"/>
    <w:rsid w:val="00822BFD"/>
    <w:rsid w:val="00824491"/>
    <w:rsid w:val="00824558"/>
    <w:rsid w:val="00824B58"/>
    <w:rsid w:val="00825531"/>
    <w:rsid w:val="00825B41"/>
    <w:rsid w:val="00827FA7"/>
    <w:rsid w:val="00827FFA"/>
    <w:rsid w:val="0083053E"/>
    <w:rsid w:val="0083086A"/>
    <w:rsid w:val="00830B6C"/>
    <w:rsid w:val="008328B3"/>
    <w:rsid w:val="00832ED3"/>
    <w:rsid w:val="00834541"/>
    <w:rsid w:val="008368B2"/>
    <w:rsid w:val="008369A0"/>
    <w:rsid w:val="00836BC6"/>
    <w:rsid w:val="0083724B"/>
    <w:rsid w:val="0083740C"/>
    <w:rsid w:val="00840AAD"/>
    <w:rsid w:val="00841B37"/>
    <w:rsid w:val="00841CED"/>
    <w:rsid w:val="00842799"/>
    <w:rsid w:val="00843AF1"/>
    <w:rsid w:val="00844471"/>
    <w:rsid w:val="00844BBF"/>
    <w:rsid w:val="0084540B"/>
    <w:rsid w:val="00845B09"/>
    <w:rsid w:val="00845BE5"/>
    <w:rsid w:val="0084636C"/>
    <w:rsid w:val="008470CE"/>
    <w:rsid w:val="00847B33"/>
    <w:rsid w:val="00850996"/>
    <w:rsid w:val="00850F40"/>
    <w:rsid w:val="0085197C"/>
    <w:rsid w:val="00851B70"/>
    <w:rsid w:val="00852594"/>
    <w:rsid w:val="00852E35"/>
    <w:rsid w:val="008532DD"/>
    <w:rsid w:val="00853709"/>
    <w:rsid w:val="0085520C"/>
    <w:rsid w:val="00856402"/>
    <w:rsid w:val="0086000E"/>
    <w:rsid w:val="00862B42"/>
    <w:rsid w:val="00862C57"/>
    <w:rsid w:val="00863964"/>
    <w:rsid w:val="00863A03"/>
    <w:rsid w:val="00864375"/>
    <w:rsid w:val="00864799"/>
    <w:rsid w:val="00864B88"/>
    <w:rsid w:val="00864D3A"/>
    <w:rsid w:val="00864E84"/>
    <w:rsid w:val="00864F24"/>
    <w:rsid w:val="00865A1B"/>
    <w:rsid w:val="00867450"/>
    <w:rsid w:val="008674BF"/>
    <w:rsid w:val="0086794D"/>
    <w:rsid w:val="008709C4"/>
    <w:rsid w:val="00871B49"/>
    <w:rsid w:val="008724CD"/>
    <w:rsid w:val="0087288B"/>
    <w:rsid w:val="00872A4C"/>
    <w:rsid w:val="008730D5"/>
    <w:rsid w:val="00873A09"/>
    <w:rsid w:val="00873AE3"/>
    <w:rsid w:val="00873F32"/>
    <w:rsid w:val="00874AE6"/>
    <w:rsid w:val="00874D6D"/>
    <w:rsid w:val="0087647A"/>
    <w:rsid w:val="008766BB"/>
    <w:rsid w:val="0087769E"/>
    <w:rsid w:val="00877F78"/>
    <w:rsid w:val="00877FAA"/>
    <w:rsid w:val="0088024B"/>
    <w:rsid w:val="0088174D"/>
    <w:rsid w:val="0088326B"/>
    <w:rsid w:val="0088432F"/>
    <w:rsid w:val="00884B6C"/>
    <w:rsid w:val="00887CDB"/>
    <w:rsid w:val="00887E9D"/>
    <w:rsid w:val="00887F2B"/>
    <w:rsid w:val="00891E5F"/>
    <w:rsid w:val="00893B2E"/>
    <w:rsid w:val="00893DAF"/>
    <w:rsid w:val="00893F2B"/>
    <w:rsid w:val="008941C7"/>
    <w:rsid w:val="00894CFC"/>
    <w:rsid w:val="00894E2E"/>
    <w:rsid w:val="008973CF"/>
    <w:rsid w:val="008978D9"/>
    <w:rsid w:val="008A142C"/>
    <w:rsid w:val="008A18D5"/>
    <w:rsid w:val="008A2590"/>
    <w:rsid w:val="008A2ED4"/>
    <w:rsid w:val="008A3442"/>
    <w:rsid w:val="008A3EF8"/>
    <w:rsid w:val="008A5DD3"/>
    <w:rsid w:val="008A6688"/>
    <w:rsid w:val="008A6C09"/>
    <w:rsid w:val="008A716F"/>
    <w:rsid w:val="008B0A79"/>
    <w:rsid w:val="008B1601"/>
    <w:rsid w:val="008B1D4F"/>
    <w:rsid w:val="008B20E1"/>
    <w:rsid w:val="008B242E"/>
    <w:rsid w:val="008B38AC"/>
    <w:rsid w:val="008B3AD7"/>
    <w:rsid w:val="008B4754"/>
    <w:rsid w:val="008B4B10"/>
    <w:rsid w:val="008B5037"/>
    <w:rsid w:val="008B569F"/>
    <w:rsid w:val="008B5C90"/>
    <w:rsid w:val="008B5CAF"/>
    <w:rsid w:val="008B62C4"/>
    <w:rsid w:val="008B63B8"/>
    <w:rsid w:val="008C0283"/>
    <w:rsid w:val="008C035D"/>
    <w:rsid w:val="008C0468"/>
    <w:rsid w:val="008C0CD4"/>
    <w:rsid w:val="008C1525"/>
    <w:rsid w:val="008C19C2"/>
    <w:rsid w:val="008C233E"/>
    <w:rsid w:val="008C3B75"/>
    <w:rsid w:val="008C53E7"/>
    <w:rsid w:val="008C57A8"/>
    <w:rsid w:val="008C608A"/>
    <w:rsid w:val="008C625F"/>
    <w:rsid w:val="008C6FAE"/>
    <w:rsid w:val="008C7C4F"/>
    <w:rsid w:val="008C7CED"/>
    <w:rsid w:val="008C7DB5"/>
    <w:rsid w:val="008D1111"/>
    <w:rsid w:val="008D12E9"/>
    <w:rsid w:val="008D1D31"/>
    <w:rsid w:val="008D28A5"/>
    <w:rsid w:val="008D2923"/>
    <w:rsid w:val="008D29C8"/>
    <w:rsid w:val="008D3D43"/>
    <w:rsid w:val="008D441E"/>
    <w:rsid w:val="008D4D00"/>
    <w:rsid w:val="008D5DD0"/>
    <w:rsid w:val="008D6A34"/>
    <w:rsid w:val="008D6AF3"/>
    <w:rsid w:val="008D76C6"/>
    <w:rsid w:val="008D787F"/>
    <w:rsid w:val="008D7D98"/>
    <w:rsid w:val="008E0532"/>
    <w:rsid w:val="008E2CA4"/>
    <w:rsid w:val="008E389D"/>
    <w:rsid w:val="008E38EA"/>
    <w:rsid w:val="008E6056"/>
    <w:rsid w:val="008E7B30"/>
    <w:rsid w:val="008E7BB3"/>
    <w:rsid w:val="008F0BCB"/>
    <w:rsid w:val="008F0E89"/>
    <w:rsid w:val="008F17C0"/>
    <w:rsid w:val="008F1B7E"/>
    <w:rsid w:val="008F2FFE"/>
    <w:rsid w:val="008F3A39"/>
    <w:rsid w:val="008F43B5"/>
    <w:rsid w:val="008F45AD"/>
    <w:rsid w:val="008F45B1"/>
    <w:rsid w:val="008F48ED"/>
    <w:rsid w:val="008F5811"/>
    <w:rsid w:val="008F7A48"/>
    <w:rsid w:val="008F7B0D"/>
    <w:rsid w:val="0090136E"/>
    <w:rsid w:val="009022BD"/>
    <w:rsid w:val="009029F9"/>
    <w:rsid w:val="00903218"/>
    <w:rsid w:val="00903D04"/>
    <w:rsid w:val="009040F9"/>
    <w:rsid w:val="009042D0"/>
    <w:rsid w:val="009043B0"/>
    <w:rsid w:val="00904ED3"/>
    <w:rsid w:val="00905DB3"/>
    <w:rsid w:val="009066DC"/>
    <w:rsid w:val="00907A41"/>
    <w:rsid w:val="00907BF6"/>
    <w:rsid w:val="00910CD8"/>
    <w:rsid w:val="009111A8"/>
    <w:rsid w:val="00911FBC"/>
    <w:rsid w:val="0091238A"/>
    <w:rsid w:val="009125CB"/>
    <w:rsid w:val="009128C6"/>
    <w:rsid w:val="009130E7"/>
    <w:rsid w:val="00913D2A"/>
    <w:rsid w:val="00914CB5"/>
    <w:rsid w:val="00915A64"/>
    <w:rsid w:val="00915B12"/>
    <w:rsid w:val="00916054"/>
    <w:rsid w:val="00916766"/>
    <w:rsid w:val="00916A60"/>
    <w:rsid w:val="00917672"/>
    <w:rsid w:val="00920555"/>
    <w:rsid w:val="00920D5E"/>
    <w:rsid w:val="009220C7"/>
    <w:rsid w:val="00922209"/>
    <w:rsid w:val="00923437"/>
    <w:rsid w:val="00924F66"/>
    <w:rsid w:val="00925ACB"/>
    <w:rsid w:val="00925B8D"/>
    <w:rsid w:val="00925E31"/>
    <w:rsid w:val="0092606B"/>
    <w:rsid w:val="009265B4"/>
    <w:rsid w:val="00927463"/>
    <w:rsid w:val="00927C08"/>
    <w:rsid w:val="0093051B"/>
    <w:rsid w:val="00931318"/>
    <w:rsid w:val="0093165C"/>
    <w:rsid w:val="0093194E"/>
    <w:rsid w:val="009325E1"/>
    <w:rsid w:val="00934115"/>
    <w:rsid w:val="00936BD8"/>
    <w:rsid w:val="009378BE"/>
    <w:rsid w:val="00937D28"/>
    <w:rsid w:val="009402D0"/>
    <w:rsid w:val="0094035F"/>
    <w:rsid w:val="00940961"/>
    <w:rsid w:val="00943F1B"/>
    <w:rsid w:val="00943F44"/>
    <w:rsid w:val="00944C7E"/>
    <w:rsid w:val="009450AD"/>
    <w:rsid w:val="0094533C"/>
    <w:rsid w:val="00945E5E"/>
    <w:rsid w:val="00947979"/>
    <w:rsid w:val="009508D2"/>
    <w:rsid w:val="00950E76"/>
    <w:rsid w:val="0095137E"/>
    <w:rsid w:val="00951685"/>
    <w:rsid w:val="009517BA"/>
    <w:rsid w:val="00951836"/>
    <w:rsid w:val="009540E8"/>
    <w:rsid w:val="00954850"/>
    <w:rsid w:val="009549CE"/>
    <w:rsid w:val="00955668"/>
    <w:rsid w:val="009567A8"/>
    <w:rsid w:val="00956A63"/>
    <w:rsid w:val="009602FE"/>
    <w:rsid w:val="009605B7"/>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0B3B"/>
    <w:rsid w:val="00981789"/>
    <w:rsid w:val="00981E17"/>
    <w:rsid w:val="00982AB1"/>
    <w:rsid w:val="00982B65"/>
    <w:rsid w:val="00983807"/>
    <w:rsid w:val="00984289"/>
    <w:rsid w:val="00984366"/>
    <w:rsid w:val="00985770"/>
    <w:rsid w:val="00985BD4"/>
    <w:rsid w:val="00986120"/>
    <w:rsid w:val="0098711A"/>
    <w:rsid w:val="00990A3C"/>
    <w:rsid w:val="00991092"/>
    <w:rsid w:val="009917BC"/>
    <w:rsid w:val="00991B27"/>
    <w:rsid w:val="00993767"/>
    <w:rsid w:val="00993D54"/>
    <w:rsid w:val="00993D86"/>
    <w:rsid w:val="00994FB9"/>
    <w:rsid w:val="00995471"/>
    <w:rsid w:val="00997338"/>
    <w:rsid w:val="009977B3"/>
    <w:rsid w:val="009A081C"/>
    <w:rsid w:val="009A0D20"/>
    <w:rsid w:val="009A170A"/>
    <w:rsid w:val="009A2615"/>
    <w:rsid w:val="009A262E"/>
    <w:rsid w:val="009A4431"/>
    <w:rsid w:val="009A55D2"/>
    <w:rsid w:val="009A5A77"/>
    <w:rsid w:val="009A769A"/>
    <w:rsid w:val="009A79A8"/>
    <w:rsid w:val="009A79E7"/>
    <w:rsid w:val="009A7CD2"/>
    <w:rsid w:val="009A7F24"/>
    <w:rsid w:val="009B015C"/>
    <w:rsid w:val="009B2954"/>
    <w:rsid w:val="009B4381"/>
    <w:rsid w:val="009B4716"/>
    <w:rsid w:val="009B49D9"/>
    <w:rsid w:val="009B50D6"/>
    <w:rsid w:val="009B5304"/>
    <w:rsid w:val="009B61D8"/>
    <w:rsid w:val="009B7BEB"/>
    <w:rsid w:val="009C06C2"/>
    <w:rsid w:val="009C117F"/>
    <w:rsid w:val="009C1EA1"/>
    <w:rsid w:val="009C294F"/>
    <w:rsid w:val="009C2D7E"/>
    <w:rsid w:val="009C2F0C"/>
    <w:rsid w:val="009C353E"/>
    <w:rsid w:val="009C3D2A"/>
    <w:rsid w:val="009C41E2"/>
    <w:rsid w:val="009C4397"/>
    <w:rsid w:val="009C5686"/>
    <w:rsid w:val="009C5C01"/>
    <w:rsid w:val="009C68CE"/>
    <w:rsid w:val="009C7528"/>
    <w:rsid w:val="009C76E3"/>
    <w:rsid w:val="009D03D6"/>
    <w:rsid w:val="009D1652"/>
    <w:rsid w:val="009D17FA"/>
    <w:rsid w:val="009D20C8"/>
    <w:rsid w:val="009D2D35"/>
    <w:rsid w:val="009D3438"/>
    <w:rsid w:val="009D4371"/>
    <w:rsid w:val="009D4698"/>
    <w:rsid w:val="009D47EC"/>
    <w:rsid w:val="009D4D10"/>
    <w:rsid w:val="009D527B"/>
    <w:rsid w:val="009D5472"/>
    <w:rsid w:val="009D5A12"/>
    <w:rsid w:val="009D60AE"/>
    <w:rsid w:val="009D614E"/>
    <w:rsid w:val="009D678D"/>
    <w:rsid w:val="009D69E2"/>
    <w:rsid w:val="009D7684"/>
    <w:rsid w:val="009D77D9"/>
    <w:rsid w:val="009D7B7E"/>
    <w:rsid w:val="009D7DFA"/>
    <w:rsid w:val="009E1696"/>
    <w:rsid w:val="009E1DEF"/>
    <w:rsid w:val="009E216F"/>
    <w:rsid w:val="009E2F40"/>
    <w:rsid w:val="009E34AF"/>
    <w:rsid w:val="009E4664"/>
    <w:rsid w:val="009E47A5"/>
    <w:rsid w:val="009E61B4"/>
    <w:rsid w:val="009F02ED"/>
    <w:rsid w:val="009F2C5D"/>
    <w:rsid w:val="009F2D9C"/>
    <w:rsid w:val="009F5292"/>
    <w:rsid w:val="009F5D30"/>
    <w:rsid w:val="009F5DCA"/>
    <w:rsid w:val="009F7D16"/>
    <w:rsid w:val="00A01BC2"/>
    <w:rsid w:val="00A01DC6"/>
    <w:rsid w:val="00A02181"/>
    <w:rsid w:val="00A0263A"/>
    <w:rsid w:val="00A028BB"/>
    <w:rsid w:val="00A0319C"/>
    <w:rsid w:val="00A031E3"/>
    <w:rsid w:val="00A03CAC"/>
    <w:rsid w:val="00A04892"/>
    <w:rsid w:val="00A04E69"/>
    <w:rsid w:val="00A04FE8"/>
    <w:rsid w:val="00A05254"/>
    <w:rsid w:val="00A05959"/>
    <w:rsid w:val="00A064E7"/>
    <w:rsid w:val="00A065A7"/>
    <w:rsid w:val="00A06AC7"/>
    <w:rsid w:val="00A070E0"/>
    <w:rsid w:val="00A0779E"/>
    <w:rsid w:val="00A07CFE"/>
    <w:rsid w:val="00A10E19"/>
    <w:rsid w:val="00A11B1F"/>
    <w:rsid w:val="00A11F8F"/>
    <w:rsid w:val="00A12014"/>
    <w:rsid w:val="00A121AE"/>
    <w:rsid w:val="00A12515"/>
    <w:rsid w:val="00A13E24"/>
    <w:rsid w:val="00A15115"/>
    <w:rsid w:val="00A15234"/>
    <w:rsid w:val="00A15D7B"/>
    <w:rsid w:val="00A17285"/>
    <w:rsid w:val="00A17817"/>
    <w:rsid w:val="00A2062E"/>
    <w:rsid w:val="00A2150C"/>
    <w:rsid w:val="00A218A2"/>
    <w:rsid w:val="00A21A74"/>
    <w:rsid w:val="00A21D03"/>
    <w:rsid w:val="00A223E0"/>
    <w:rsid w:val="00A23D5C"/>
    <w:rsid w:val="00A2476B"/>
    <w:rsid w:val="00A27898"/>
    <w:rsid w:val="00A279EE"/>
    <w:rsid w:val="00A27A7C"/>
    <w:rsid w:val="00A27AEE"/>
    <w:rsid w:val="00A27BF4"/>
    <w:rsid w:val="00A27FD6"/>
    <w:rsid w:val="00A309FF"/>
    <w:rsid w:val="00A30FBA"/>
    <w:rsid w:val="00A326FB"/>
    <w:rsid w:val="00A328C1"/>
    <w:rsid w:val="00A3293C"/>
    <w:rsid w:val="00A33CE8"/>
    <w:rsid w:val="00A34606"/>
    <w:rsid w:val="00A3661B"/>
    <w:rsid w:val="00A36B43"/>
    <w:rsid w:val="00A36D07"/>
    <w:rsid w:val="00A36FA3"/>
    <w:rsid w:val="00A373EC"/>
    <w:rsid w:val="00A374DA"/>
    <w:rsid w:val="00A37835"/>
    <w:rsid w:val="00A40A8E"/>
    <w:rsid w:val="00A40F15"/>
    <w:rsid w:val="00A414C8"/>
    <w:rsid w:val="00A42251"/>
    <w:rsid w:val="00A424FF"/>
    <w:rsid w:val="00A43058"/>
    <w:rsid w:val="00A43546"/>
    <w:rsid w:val="00A43C23"/>
    <w:rsid w:val="00A46086"/>
    <w:rsid w:val="00A466E4"/>
    <w:rsid w:val="00A46987"/>
    <w:rsid w:val="00A46F27"/>
    <w:rsid w:val="00A474F3"/>
    <w:rsid w:val="00A47CE2"/>
    <w:rsid w:val="00A50C11"/>
    <w:rsid w:val="00A5203C"/>
    <w:rsid w:val="00A528E4"/>
    <w:rsid w:val="00A52B5E"/>
    <w:rsid w:val="00A531E8"/>
    <w:rsid w:val="00A53909"/>
    <w:rsid w:val="00A562E6"/>
    <w:rsid w:val="00A56BDD"/>
    <w:rsid w:val="00A6096F"/>
    <w:rsid w:val="00A60A81"/>
    <w:rsid w:val="00A60E3A"/>
    <w:rsid w:val="00A611C0"/>
    <w:rsid w:val="00A61DCB"/>
    <w:rsid w:val="00A624D2"/>
    <w:rsid w:val="00A628D5"/>
    <w:rsid w:val="00A629ED"/>
    <w:rsid w:val="00A66186"/>
    <w:rsid w:val="00A66B35"/>
    <w:rsid w:val="00A6783F"/>
    <w:rsid w:val="00A70C96"/>
    <w:rsid w:val="00A71309"/>
    <w:rsid w:val="00A71ED1"/>
    <w:rsid w:val="00A72E3E"/>
    <w:rsid w:val="00A73C53"/>
    <w:rsid w:val="00A73E71"/>
    <w:rsid w:val="00A73F0B"/>
    <w:rsid w:val="00A75F20"/>
    <w:rsid w:val="00A766CF"/>
    <w:rsid w:val="00A7692D"/>
    <w:rsid w:val="00A76996"/>
    <w:rsid w:val="00A77422"/>
    <w:rsid w:val="00A77486"/>
    <w:rsid w:val="00A81311"/>
    <w:rsid w:val="00A81D1C"/>
    <w:rsid w:val="00A81D30"/>
    <w:rsid w:val="00A82577"/>
    <w:rsid w:val="00A8417F"/>
    <w:rsid w:val="00A86309"/>
    <w:rsid w:val="00A86EA0"/>
    <w:rsid w:val="00A870EB"/>
    <w:rsid w:val="00A87B53"/>
    <w:rsid w:val="00A87CA7"/>
    <w:rsid w:val="00A87D79"/>
    <w:rsid w:val="00A90C97"/>
    <w:rsid w:val="00A91BEB"/>
    <w:rsid w:val="00A91E1D"/>
    <w:rsid w:val="00A937D3"/>
    <w:rsid w:val="00A96124"/>
    <w:rsid w:val="00A96977"/>
    <w:rsid w:val="00A9781D"/>
    <w:rsid w:val="00A97C8D"/>
    <w:rsid w:val="00AA02FC"/>
    <w:rsid w:val="00AA0EE3"/>
    <w:rsid w:val="00AA1E80"/>
    <w:rsid w:val="00AA22E1"/>
    <w:rsid w:val="00AA3262"/>
    <w:rsid w:val="00AA32E0"/>
    <w:rsid w:val="00AA39E5"/>
    <w:rsid w:val="00AA39F6"/>
    <w:rsid w:val="00AA48C3"/>
    <w:rsid w:val="00AA5820"/>
    <w:rsid w:val="00AA62AF"/>
    <w:rsid w:val="00AA6F85"/>
    <w:rsid w:val="00AA7A78"/>
    <w:rsid w:val="00AA7E99"/>
    <w:rsid w:val="00AB03CD"/>
    <w:rsid w:val="00AB1E2C"/>
    <w:rsid w:val="00AB2566"/>
    <w:rsid w:val="00AB5685"/>
    <w:rsid w:val="00AB5A19"/>
    <w:rsid w:val="00AB5ACD"/>
    <w:rsid w:val="00AB65C0"/>
    <w:rsid w:val="00AB770F"/>
    <w:rsid w:val="00AB7A09"/>
    <w:rsid w:val="00AC08A8"/>
    <w:rsid w:val="00AC0E4E"/>
    <w:rsid w:val="00AC1257"/>
    <w:rsid w:val="00AC21FA"/>
    <w:rsid w:val="00AC22A9"/>
    <w:rsid w:val="00AC29A2"/>
    <w:rsid w:val="00AC2C39"/>
    <w:rsid w:val="00AC2D10"/>
    <w:rsid w:val="00AC6217"/>
    <w:rsid w:val="00AC6446"/>
    <w:rsid w:val="00AC736F"/>
    <w:rsid w:val="00AC7423"/>
    <w:rsid w:val="00AC7847"/>
    <w:rsid w:val="00AC79AC"/>
    <w:rsid w:val="00AC7D10"/>
    <w:rsid w:val="00AD20DE"/>
    <w:rsid w:val="00AD25DA"/>
    <w:rsid w:val="00AD281B"/>
    <w:rsid w:val="00AD4C81"/>
    <w:rsid w:val="00AD4F95"/>
    <w:rsid w:val="00AD5106"/>
    <w:rsid w:val="00AD6234"/>
    <w:rsid w:val="00AD6AE2"/>
    <w:rsid w:val="00AE0916"/>
    <w:rsid w:val="00AE0FC7"/>
    <w:rsid w:val="00AE17E1"/>
    <w:rsid w:val="00AE2E70"/>
    <w:rsid w:val="00AE2FAB"/>
    <w:rsid w:val="00AE4509"/>
    <w:rsid w:val="00AE4BED"/>
    <w:rsid w:val="00AE50C4"/>
    <w:rsid w:val="00AE558A"/>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08F"/>
    <w:rsid w:val="00AF76F4"/>
    <w:rsid w:val="00AF76FB"/>
    <w:rsid w:val="00B00142"/>
    <w:rsid w:val="00B00202"/>
    <w:rsid w:val="00B00A45"/>
    <w:rsid w:val="00B00D3C"/>
    <w:rsid w:val="00B00D44"/>
    <w:rsid w:val="00B01D20"/>
    <w:rsid w:val="00B028D9"/>
    <w:rsid w:val="00B03B30"/>
    <w:rsid w:val="00B048A4"/>
    <w:rsid w:val="00B0527F"/>
    <w:rsid w:val="00B104C8"/>
    <w:rsid w:val="00B10B59"/>
    <w:rsid w:val="00B10E3C"/>
    <w:rsid w:val="00B11561"/>
    <w:rsid w:val="00B115DC"/>
    <w:rsid w:val="00B11A34"/>
    <w:rsid w:val="00B11A85"/>
    <w:rsid w:val="00B125CD"/>
    <w:rsid w:val="00B12AEF"/>
    <w:rsid w:val="00B12F8D"/>
    <w:rsid w:val="00B131E1"/>
    <w:rsid w:val="00B1392E"/>
    <w:rsid w:val="00B14DDA"/>
    <w:rsid w:val="00B14E3E"/>
    <w:rsid w:val="00B14ECD"/>
    <w:rsid w:val="00B15032"/>
    <w:rsid w:val="00B15AE0"/>
    <w:rsid w:val="00B15BA1"/>
    <w:rsid w:val="00B15D71"/>
    <w:rsid w:val="00B1656D"/>
    <w:rsid w:val="00B16875"/>
    <w:rsid w:val="00B168FD"/>
    <w:rsid w:val="00B17705"/>
    <w:rsid w:val="00B17F02"/>
    <w:rsid w:val="00B17F4E"/>
    <w:rsid w:val="00B22233"/>
    <w:rsid w:val="00B22C37"/>
    <w:rsid w:val="00B23000"/>
    <w:rsid w:val="00B2400A"/>
    <w:rsid w:val="00B241DF"/>
    <w:rsid w:val="00B245C6"/>
    <w:rsid w:val="00B24EFD"/>
    <w:rsid w:val="00B25BBD"/>
    <w:rsid w:val="00B27251"/>
    <w:rsid w:val="00B272FD"/>
    <w:rsid w:val="00B27A56"/>
    <w:rsid w:val="00B27ACC"/>
    <w:rsid w:val="00B32796"/>
    <w:rsid w:val="00B327E9"/>
    <w:rsid w:val="00B33720"/>
    <w:rsid w:val="00B3387A"/>
    <w:rsid w:val="00B34F20"/>
    <w:rsid w:val="00B36D9A"/>
    <w:rsid w:val="00B37284"/>
    <w:rsid w:val="00B3772A"/>
    <w:rsid w:val="00B3783C"/>
    <w:rsid w:val="00B409A8"/>
    <w:rsid w:val="00B40AEB"/>
    <w:rsid w:val="00B40DE4"/>
    <w:rsid w:val="00B42C96"/>
    <w:rsid w:val="00B42F58"/>
    <w:rsid w:val="00B440DA"/>
    <w:rsid w:val="00B45053"/>
    <w:rsid w:val="00B46140"/>
    <w:rsid w:val="00B46423"/>
    <w:rsid w:val="00B47CFA"/>
    <w:rsid w:val="00B51053"/>
    <w:rsid w:val="00B52AE1"/>
    <w:rsid w:val="00B537B7"/>
    <w:rsid w:val="00B53C9A"/>
    <w:rsid w:val="00B53D35"/>
    <w:rsid w:val="00B5540E"/>
    <w:rsid w:val="00B55CD0"/>
    <w:rsid w:val="00B565DB"/>
    <w:rsid w:val="00B60069"/>
    <w:rsid w:val="00B60E0C"/>
    <w:rsid w:val="00B61858"/>
    <w:rsid w:val="00B62D51"/>
    <w:rsid w:val="00B64613"/>
    <w:rsid w:val="00B65440"/>
    <w:rsid w:val="00B657B8"/>
    <w:rsid w:val="00B65E7F"/>
    <w:rsid w:val="00B67D80"/>
    <w:rsid w:val="00B70372"/>
    <w:rsid w:val="00B71916"/>
    <w:rsid w:val="00B73457"/>
    <w:rsid w:val="00B74320"/>
    <w:rsid w:val="00B74950"/>
    <w:rsid w:val="00B750C3"/>
    <w:rsid w:val="00B75895"/>
    <w:rsid w:val="00B75C78"/>
    <w:rsid w:val="00B76972"/>
    <w:rsid w:val="00B769D4"/>
    <w:rsid w:val="00B770E6"/>
    <w:rsid w:val="00B772A2"/>
    <w:rsid w:val="00B80588"/>
    <w:rsid w:val="00B80AFF"/>
    <w:rsid w:val="00B82C57"/>
    <w:rsid w:val="00B83649"/>
    <w:rsid w:val="00B83AA9"/>
    <w:rsid w:val="00B84192"/>
    <w:rsid w:val="00B8474E"/>
    <w:rsid w:val="00B84ED0"/>
    <w:rsid w:val="00B85278"/>
    <w:rsid w:val="00B85803"/>
    <w:rsid w:val="00B85866"/>
    <w:rsid w:val="00B85D75"/>
    <w:rsid w:val="00B85D82"/>
    <w:rsid w:val="00B85E0E"/>
    <w:rsid w:val="00B8705D"/>
    <w:rsid w:val="00B87368"/>
    <w:rsid w:val="00B87459"/>
    <w:rsid w:val="00B87F22"/>
    <w:rsid w:val="00B90E81"/>
    <w:rsid w:val="00B91774"/>
    <w:rsid w:val="00B9237D"/>
    <w:rsid w:val="00B92D65"/>
    <w:rsid w:val="00B9413C"/>
    <w:rsid w:val="00B94161"/>
    <w:rsid w:val="00B942FA"/>
    <w:rsid w:val="00B9524B"/>
    <w:rsid w:val="00B9573B"/>
    <w:rsid w:val="00B957E3"/>
    <w:rsid w:val="00B958AC"/>
    <w:rsid w:val="00B971EC"/>
    <w:rsid w:val="00B972CE"/>
    <w:rsid w:val="00B9797E"/>
    <w:rsid w:val="00BA0277"/>
    <w:rsid w:val="00BA0D48"/>
    <w:rsid w:val="00BA0D76"/>
    <w:rsid w:val="00BA1A1A"/>
    <w:rsid w:val="00BA26FD"/>
    <w:rsid w:val="00BA33A1"/>
    <w:rsid w:val="00BA3906"/>
    <w:rsid w:val="00BA3ED1"/>
    <w:rsid w:val="00BA6AA8"/>
    <w:rsid w:val="00BB02B1"/>
    <w:rsid w:val="00BB2274"/>
    <w:rsid w:val="00BB2499"/>
    <w:rsid w:val="00BB3768"/>
    <w:rsid w:val="00BB5B69"/>
    <w:rsid w:val="00BB621C"/>
    <w:rsid w:val="00BB6644"/>
    <w:rsid w:val="00BB6857"/>
    <w:rsid w:val="00BC025E"/>
    <w:rsid w:val="00BC1013"/>
    <w:rsid w:val="00BC1929"/>
    <w:rsid w:val="00BC4E8A"/>
    <w:rsid w:val="00BC5E4D"/>
    <w:rsid w:val="00BC6312"/>
    <w:rsid w:val="00BC6E9A"/>
    <w:rsid w:val="00BD01DF"/>
    <w:rsid w:val="00BD0D3B"/>
    <w:rsid w:val="00BD1A2C"/>
    <w:rsid w:val="00BD372E"/>
    <w:rsid w:val="00BD3A04"/>
    <w:rsid w:val="00BD3A5A"/>
    <w:rsid w:val="00BD3BD8"/>
    <w:rsid w:val="00BD5E99"/>
    <w:rsid w:val="00BD60F3"/>
    <w:rsid w:val="00BD6655"/>
    <w:rsid w:val="00BD73B0"/>
    <w:rsid w:val="00BE02DD"/>
    <w:rsid w:val="00BE0733"/>
    <w:rsid w:val="00BE241D"/>
    <w:rsid w:val="00BE32B6"/>
    <w:rsid w:val="00BE4608"/>
    <w:rsid w:val="00BF1C80"/>
    <w:rsid w:val="00BF1F3B"/>
    <w:rsid w:val="00BF200D"/>
    <w:rsid w:val="00BF2138"/>
    <w:rsid w:val="00BF21D9"/>
    <w:rsid w:val="00BF2947"/>
    <w:rsid w:val="00BF376C"/>
    <w:rsid w:val="00BF4548"/>
    <w:rsid w:val="00BF4D72"/>
    <w:rsid w:val="00C00A9E"/>
    <w:rsid w:val="00C017E7"/>
    <w:rsid w:val="00C02189"/>
    <w:rsid w:val="00C02ACD"/>
    <w:rsid w:val="00C047D1"/>
    <w:rsid w:val="00C04892"/>
    <w:rsid w:val="00C0491D"/>
    <w:rsid w:val="00C04D76"/>
    <w:rsid w:val="00C05044"/>
    <w:rsid w:val="00C06E54"/>
    <w:rsid w:val="00C10507"/>
    <w:rsid w:val="00C11185"/>
    <w:rsid w:val="00C120C1"/>
    <w:rsid w:val="00C12744"/>
    <w:rsid w:val="00C12F08"/>
    <w:rsid w:val="00C13CF9"/>
    <w:rsid w:val="00C14D17"/>
    <w:rsid w:val="00C15FAA"/>
    <w:rsid w:val="00C16681"/>
    <w:rsid w:val="00C16BBD"/>
    <w:rsid w:val="00C1724F"/>
    <w:rsid w:val="00C1775D"/>
    <w:rsid w:val="00C178CC"/>
    <w:rsid w:val="00C17A97"/>
    <w:rsid w:val="00C17D87"/>
    <w:rsid w:val="00C21934"/>
    <w:rsid w:val="00C230A9"/>
    <w:rsid w:val="00C23464"/>
    <w:rsid w:val="00C23773"/>
    <w:rsid w:val="00C24437"/>
    <w:rsid w:val="00C24D19"/>
    <w:rsid w:val="00C25871"/>
    <w:rsid w:val="00C2587A"/>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611"/>
    <w:rsid w:val="00C37956"/>
    <w:rsid w:val="00C37E0F"/>
    <w:rsid w:val="00C40318"/>
    <w:rsid w:val="00C406FF"/>
    <w:rsid w:val="00C4094C"/>
    <w:rsid w:val="00C41859"/>
    <w:rsid w:val="00C436D9"/>
    <w:rsid w:val="00C44412"/>
    <w:rsid w:val="00C44B8B"/>
    <w:rsid w:val="00C44BEC"/>
    <w:rsid w:val="00C44D11"/>
    <w:rsid w:val="00C45AA4"/>
    <w:rsid w:val="00C45BAB"/>
    <w:rsid w:val="00C45D73"/>
    <w:rsid w:val="00C471D3"/>
    <w:rsid w:val="00C475EA"/>
    <w:rsid w:val="00C47E57"/>
    <w:rsid w:val="00C50AA9"/>
    <w:rsid w:val="00C514D7"/>
    <w:rsid w:val="00C51800"/>
    <w:rsid w:val="00C5182B"/>
    <w:rsid w:val="00C52BE9"/>
    <w:rsid w:val="00C52C57"/>
    <w:rsid w:val="00C54537"/>
    <w:rsid w:val="00C558EE"/>
    <w:rsid w:val="00C55C2E"/>
    <w:rsid w:val="00C5630B"/>
    <w:rsid w:val="00C57296"/>
    <w:rsid w:val="00C62EDB"/>
    <w:rsid w:val="00C62F4E"/>
    <w:rsid w:val="00C6393F"/>
    <w:rsid w:val="00C63BB5"/>
    <w:rsid w:val="00C63FB1"/>
    <w:rsid w:val="00C6418A"/>
    <w:rsid w:val="00C64789"/>
    <w:rsid w:val="00C66300"/>
    <w:rsid w:val="00C666DE"/>
    <w:rsid w:val="00C67844"/>
    <w:rsid w:val="00C67B25"/>
    <w:rsid w:val="00C67B72"/>
    <w:rsid w:val="00C67FE1"/>
    <w:rsid w:val="00C711E4"/>
    <w:rsid w:val="00C72463"/>
    <w:rsid w:val="00C72A00"/>
    <w:rsid w:val="00C73218"/>
    <w:rsid w:val="00C7416E"/>
    <w:rsid w:val="00C74AFD"/>
    <w:rsid w:val="00C755A9"/>
    <w:rsid w:val="00C75EC7"/>
    <w:rsid w:val="00C76831"/>
    <w:rsid w:val="00C76E4D"/>
    <w:rsid w:val="00C77706"/>
    <w:rsid w:val="00C800FD"/>
    <w:rsid w:val="00C807E9"/>
    <w:rsid w:val="00C80D44"/>
    <w:rsid w:val="00C8179E"/>
    <w:rsid w:val="00C81B96"/>
    <w:rsid w:val="00C827B3"/>
    <w:rsid w:val="00C829E5"/>
    <w:rsid w:val="00C834DF"/>
    <w:rsid w:val="00C83C27"/>
    <w:rsid w:val="00C83F5A"/>
    <w:rsid w:val="00C86109"/>
    <w:rsid w:val="00C86331"/>
    <w:rsid w:val="00C87888"/>
    <w:rsid w:val="00C87AAA"/>
    <w:rsid w:val="00C87E9D"/>
    <w:rsid w:val="00C92F95"/>
    <w:rsid w:val="00C935F9"/>
    <w:rsid w:val="00C945E0"/>
    <w:rsid w:val="00CA0BBD"/>
    <w:rsid w:val="00CA19F4"/>
    <w:rsid w:val="00CA21AE"/>
    <w:rsid w:val="00CA22D0"/>
    <w:rsid w:val="00CA25A0"/>
    <w:rsid w:val="00CA2CA5"/>
    <w:rsid w:val="00CA2F4B"/>
    <w:rsid w:val="00CA38C5"/>
    <w:rsid w:val="00CA4119"/>
    <w:rsid w:val="00CA4C95"/>
    <w:rsid w:val="00CA6F0D"/>
    <w:rsid w:val="00CA6F8F"/>
    <w:rsid w:val="00CA74FF"/>
    <w:rsid w:val="00CB3063"/>
    <w:rsid w:val="00CB4411"/>
    <w:rsid w:val="00CB472A"/>
    <w:rsid w:val="00CB4860"/>
    <w:rsid w:val="00CB5077"/>
    <w:rsid w:val="00CB5552"/>
    <w:rsid w:val="00CB67CD"/>
    <w:rsid w:val="00CB69E2"/>
    <w:rsid w:val="00CB7160"/>
    <w:rsid w:val="00CB7A35"/>
    <w:rsid w:val="00CC00C8"/>
    <w:rsid w:val="00CC04EE"/>
    <w:rsid w:val="00CC2D54"/>
    <w:rsid w:val="00CC34FE"/>
    <w:rsid w:val="00CC3772"/>
    <w:rsid w:val="00CC3950"/>
    <w:rsid w:val="00CC3C51"/>
    <w:rsid w:val="00CC3D7D"/>
    <w:rsid w:val="00CC450E"/>
    <w:rsid w:val="00CC60BD"/>
    <w:rsid w:val="00CC614B"/>
    <w:rsid w:val="00CC7520"/>
    <w:rsid w:val="00CC7C03"/>
    <w:rsid w:val="00CC7C4A"/>
    <w:rsid w:val="00CD0834"/>
    <w:rsid w:val="00CD1A67"/>
    <w:rsid w:val="00CD330F"/>
    <w:rsid w:val="00CD4302"/>
    <w:rsid w:val="00CD44B7"/>
    <w:rsid w:val="00CD4B38"/>
    <w:rsid w:val="00CD52C2"/>
    <w:rsid w:val="00CD5324"/>
    <w:rsid w:val="00CD5856"/>
    <w:rsid w:val="00CD5E12"/>
    <w:rsid w:val="00CD69E1"/>
    <w:rsid w:val="00CE00F5"/>
    <w:rsid w:val="00CE0796"/>
    <w:rsid w:val="00CE17AC"/>
    <w:rsid w:val="00CE2539"/>
    <w:rsid w:val="00CE2D29"/>
    <w:rsid w:val="00CE309A"/>
    <w:rsid w:val="00CE3A55"/>
    <w:rsid w:val="00CE40D0"/>
    <w:rsid w:val="00CE56BA"/>
    <w:rsid w:val="00CE5A7D"/>
    <w:rsid w:val="00CE7911"/>
    <w:rsid w:val="00CE7FFA"/>
    <w:rsid w:val="00CF0865"/>
    <w:rsid w:val="00CF15D5"/>
    <w:rsid w:val="00CF30FA"/>
    <w:rsid w:val="00CF352B"/>
    <w:rsid w:val="00CF374A"/>
    <w:rsid w:val="00CF38BF"/>
    <w:rsid w:val="00CF38CB"/>
    <w:rsid w:val="00CF3A2D"/>
    <w:rsid w:val="00CF423F"/>
    <w:rsid w:val="00CF434A"/>
    <w:rsid w:val="00CF478D"/>
    <w:rsid w:val="00CF4969"/>
    <w:rsid w:val="00CF62D5"/>
    <w:rsid w:val="00CF6416"/>
    <w:rsid w:val="00CF676B"/>
    <w:rsid w:val="00CF7633"/>
    <w:rsid w:val="00D00E9C"/>
    <w:rsid w:val="00D0102E"/>
    <w:rsid w:val="00D01434"/>
    <w:rsid w:val="00D02BA3"/>
    <w:rsid w:val="00D02D07"/>
    <w:rsid w:val="00D03272"/>
    <w:rsid w:val="00D0432C"/>
    <w:rsid w:val="00D06BFE"/>
    <w:rsid w:val="00D07449"/>
    <w:rsid w:val="00D07E95"/>
    <w:rsid w:val="00D10089"/>
    <w:rsid w:val="00D1094D"/>
    <w:rsid w:val="00D11B76"/>
    <w:rsid w:val="00D138C0"/>
    <w:rsid w:val="00D14B4E"/>
    <w:rsid w:val="00D15400"/>
    <w:rsid w:val="00D159A1"/>
    <w:rsid w:val="00D15CD8"/>
    <w:rsid w:val="00D15EAC"/>
    <w:rsid w:val="00D15F7F"/>
    <w:rsid w:val="00D16762"/>
    <w:rsid w:val="00D1690D"/>
    <w:rsid w:val="00D172AF"/>
    <w:rsid w:val="00D20AA7"/>
    <w:rsid w:val="00D216D2"/>
    <w:rsid w:val="00D23088"/>
    <w:rsid w:val="00D232A4"/>
    <w:rsid w:val="00D237F9"/>
    <w:rsid w:val="00D23BB0"/>
    <w:rsid w:val="00D23D96"/>
    <w:rsid w:val="00D24260"/>
    <w:rsid w:val="00D2466E"/>
    <w:rsid w:val="00D2496C"/>
    <w:rsid w:val="00D25875"/>
    <w:rsid w:val="00D25C53"/>
    <w:rsid w:val="00D27308"/>
    <w:rsid w:val="00D2754F"/>
    <w:rsid w:val="00D27907"/>
    <w:rsid w:val="00D30817"/>
    <w:rsid w:val="00D30F9E"/>
    <w:rsid w:val="00D322BC"/>
    <w:rsid w:val="00D32442"/>
    <w:rsid w:val="00D32B18"/>
    <w:rsid w:val="00D3406E"/>
    <w:rsid w:val="00D34620"/>
    <w:rsid w:val="00D34DA8"/>
    <w:rsid w:val="00D35BBB"/>
    <w:rsid w:val="00D36BC5"/>
    <w:rsid w:val="00D37111"/>
    <w:rsid w:val="00D37277"/>
    <w:rsid w:val="00D40172"/>
    <w:rsid w:val="00D415AF"/>
    <w:rsid w:val="00D41DE7"/>
    <w:rsid w:val="00D4292E"/>
    <w:rsid w:val="00D430DE"/>
    <w:rsid w:val="00D43166"/>
    <w:rsid w:val="00D434CF"/>
    <w:rsid w:val="00D435E2"/>
    <w:rsid w:val="00D44C92"/>
    <w:rsid w:val="00D45206"/>
    <w:rsid w:val="00D4602F"/>
    <w:rsid w:val="00D47A86"/>
    <w:rsid w:val="00D50698"/>
    <w:rsid w:val="00D519C7"/>
    <w:rsid w:val="00D51EC8"/>
    <w:rsid w:val="00D5201A"/>
    <w:rsid w:val="00D52171"/>
    <w:rsid w:val="00D522B6"/>
    <w:rsid w:val="00D52E5D"/>
    <w:rsid w:val="00D534E7"/>
    <w:rsid w:val="00D53B4B"/>
    <w:rsid w:val="00D54078"/>
    <w:rsid w:val="00D55884"/>
    <w:rsid w:val="00D5670D"/>
    <w:rsid w:val="00D56B94"/>
    <w:rsid w:val="00D56F6F"/>
    <w:rsid w:val="00D57418"/>
    <w:rsid w:val="00D57549"/>
    <w:rsid w:val="00D57FB1"/>
    <w:rsid w:val="00D60E5B"/>
    <w:rsid w:val="00D61719"/>
    <w:rsid w:val="00D62697"/>
    <w:rsid w:val="00D6469F"/>
    <w:rsid w:val="00D65380"/>
    <w:rsid w:val="00D65F7F"/>
    <w:rsid w:val="00D66B0F"/>
    <w:rsid w:val="00D67710"/>
    <w:rsid w:val="00D67A38"/>
    <w:rsid w:val="00D67D43"/>
    <w:rsid w:val="00D70197"/>
    <w:rsid w:val="00D716FB"/>
    <w:rsid w:val="00D719E8"/>
    <w:rsid w:val="00D734F7"/>
    <w:rsid w:val="00D743F1"/>
    <w:rsid w:val="00D74439"/>
    <w:rsid w:val="00D74555"/>
    <w:rsid w:val="00D751DF"/>
    <w:rsid w:val="00D75619"/>
    <w:rsid w:val="00D75B02"/>
    <w:rsid w:val="00D76841"/>
    <w:rsid w:val="00D76BD6"/>
    <w:rsid w:val="00D814C1"/>
    <w:rsid w:val="00D8253E"/>
    <w:rsid w:val="00D8378B"/>
    <w:rsid w:val="00D83F47"/>
    <w:rsid w:val="00D85678"/>
    <w:rsid w:val="00D8570C"/>
    <w:rsid w:val="00D858A3"/>
    <w:rsid w:val="00D859F6"/>
    <w:rsid w:val="00D86575"/>
    <w:rsid w:val="00D8691B"/>
    <w:rsid w:val="00D869B7"/>
    <w:rsid w:val="00D872FF"/>
    <w:rsid w:val="00D87447"/>
    <w:rsid w:val="00D904F3"/>
    <w:rsid w:val="00D90A27"/>
    <w:rsid w:val="00D90C47"/>
    <w:rsid w:val="00D92EC9"/>
    <w:rsid w:val="00D93BB7"/>
    <w:rsid w:val="00D94CA1"/>
    <w:rsid w:val="00D95001"/>
    <w:rsid w:val="00D9523B"/>
    <w:rsid w:val="00D9532D"/>
    <w:rsid w:val="00DA026D"/>
    <w:rsid w:val="00DA0996"/>
    <w:rsid w:val="00DA3CCD"/>
    <w:rsid w:val="00DA5639"/>
    <w:rsid w:val="00DA593B"/>
    <w:rsid w:val="00DA6A12"/>
    <w:rsid w:val="00DA734B"/>
    <w:rsid w:val="00DA7DA5"/>
    <w:rsid w:val="00DB06F9"/>
    <w:rsid w:val="00DB0AD1"/>
    <w:rsid w:val="00DB1A51"/>
    <w:rsid w:val="00DB3196"/>
    <w:rsid w:val="00DB465E"/>
    <w:rsid w:val="00DB51D8"/>
    <w:rsid w:val="00DB61B1"/>
    <w:rsid w:val="00DB63BD"/>
    <w:rsid w:val="00DB6B24"/>
    <w:rsid w:val="00DB71F1"/>
    <w:rsid w:val="00DB7C0D"/>
    <w:rsid w:val="00DC114A"/>
    <w:rsid w:val="00DC117B"/>
    <w:rsid w:val="00DC18B8"/>
    <w:rsid w:val="00DC242A"/>
    <w:rsid w:val="00DC285B"/>
    <w:rsid w:val="00DC2F0A"/>
    <w:rsid w:val="00DC3FD0"/>
    <w:rsid w:val="00DC4948"/>
    <w:rsid w:val="00DC51F0"/>
    <w:rsid w:val="00DC55EF"/>
    <w:rsid w:val="00DC5D2A"/>
    <w:rsid w:val="00DC6DF8"/>
    <w:rsid w:val="00DD06BB"/>
    <w:rsid w:val="00DD2D9A"/>
    <w:rsid w:val="00DD46E4"/>
    <w:rsid w:val="00DD5545"/>
    <w:rsid w:val="00DD576C"/>
    <w:rsid w:val="00DE07D9"/>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1DFE"/>
    <w:rsid w:val="00E022A3"/>
    <w:rsid w:val="00E02923"/>
    <w:rsid w:val="00E0362D"/>
    <w:rsid w:val="00E03C28"/>
    <w:rsid w:val="00E04035"/>
    <w:rsid w:val="00E048AE"/>
    <w:rsid w:val="00E0502D"/>
    <w:rsid w:val="00E06DA2"/>
    <w:rsid w:val="00E07821"/>
    <w:rsid w:val="00E0789C"/>
    <w:rsid w:val="00E07C09"/>
    <w:rsid w:val="00E07C69"/>
    <w:rsid w:val="00E10D25"/>
    <w:rsid w:val="00E113E4"/>
    <w:rsid w:val="00E11803"/>
    <w:rsid w:val="00E130C4"/>
    <w:rsid w:val="00E13341"/>
    <w:rsid w:val="00E13590"/>
    <w:rsid w:val="00E139E2"/>
    <w:rsid w:val="00E13DA5"/>
    <w:rsid w:val="00E148EB"/>
    <w:rsid w:val="00E1588D"/>
    <w:rsid w:val="00E167ED"/>
    <w:rsid w:val="00E16D9B"/>
    <w:rsid w:val="00E17113"/>
    <w:rsid w:val="00E17A04"/>
    <w:rsid w:val="00E20ADC"/>
    <w:rsid w:val="00E21698"/>
    <w:rsid w:val="00E220A2"/>
    <w:rsid w:val="00E22B15"/>
    <w:rsid w:val="00E22B6D"/>
    <w:rsid w:val="00E22FBE"/>
    <w:rsid w:val="00E23508"/>
    <w:rsid w:val="00E2377E"/>
    <w:rsid w:val="00E23EA7"/>
    <w:rsid w:val="00E24C96"/>
    <w:rsid w:val="00E25777"/>
    <w:rsid w:val="00E267BB"/>
    <w:rsid w:val="00E27CCF"/>
    <w:rsid w:val="00E301D4"/>
    <w:rsid w:val="00E30238"/>
    <w:rsid w:val="00E3289D"/>
    <w:rsid w:val="00E3290A"/>
    <w:rsid w:val="00E32A4E"/>
    <w:rsid w:val="00E339E0"/>
    <w:rsid w:val="00E343D8"/>
    <w:rsid w:val="00E349B8"/>
    <w:rsid w:val="00E35F27"/>
    <w:rsid w:val="00E36086"/>
    <w:rsid w:val="00E363F4"/>
    <w:rsid w:val="00E37BB6"/>
    <w:rsid w:val="00E37E60"/>
    <w:rsid w:val="00E42FAB"/>
    <w:rsid w:val="00E43F10"/>
    <w:rsid w:val="00E446D7"/>
    <w:rsid w:val="00E45F99"/>
    <w:rsid w:val="00E465E0"/>
    <w:rsid w:val="00E46F95"/>
    <w:rsid w:val="00E4724A"/>
    <w:rsid w:val="00E50C59"/>
    <w:rsid w:val="00E52CF4"/>
    <w:rsid w:val="00E53253"/>
    <w:rsid w:val="00E53781"/>
    <w:rsid w:val="00E54242"/>
    <w:rsid w:val="00E546C1"/>
    <w:rsid w:val="00E551D1"/>
    <w:rsid w:val="00E552A6"/>
    <w:rsid w:val="00E55A78"/>
    <w:rsid w:val="00E560C9"/>
    <w:rsid w:val="00E566C1"/>
    <w:rsid w:val="00E57DDF"/>
    <w:rsid w:val="00E60265"/>
    <w:rsid w:val="00E61934"/>
    <w:rsid w:val="00E629B3"/>
    <w:rsid w:val="00E63629"/>
    <w:rsid w:val="00E64578"/>
    <w:rsid w:val="00E65964"/>
    <w:rsid w:val="00E66E9A"/>
    <w:rsid w:val="00E7098B"/>
    <w:rsid w:val="00E70A30"/>
    <w:rsid w:val="00E70B9B"/>
    <w:rsid w:val="00E7167C"/>
    <w:rsid w:val="00E7237F"/>
    <w:rsid w:val="00E73080"/>
    <w:rsid w:val="00E73921"/>
    <w:rsid w:val="00E741F7"/>
    <w:rsid w:val="00E745A3"/>
    <w:rsid w:val="00E74AF9"/>
    <w:rsid w:val="00E7560D"/>
    <w:rsid w:val="00E75F2C"/>
    <w:rsid w:val="00E75F36"/>
    <w:rsid w:val="00E767E4"/>
    <w:rsid w:val="00E80676"/>
    <w:rsid w:val="00E81131"/>
    <w:rsid w:val="00E818E5"/>
    <w:rsid w:val="00E84198"/>
    <w:rsid w:val="00E87050"/>
    <w:rsid w:val="00E87412"/>
    <w:rsid w:val="00E87550"/>
    <w:rsid w:val="00E87C7C"/>
    <w:rsid w:val="00E901A4"/>
    <w:rsid w:val="00E91F66"/>
    <w:rsid w:val="00E924C2"/>
    <w:rsid w:val="00E93BDA"/>
    <w:rsid w:val="00E93CE9"/>
    <w:rsid w:val="00E9563C"/>
    <w:rsid w:val="00E95C89"/>
    <w:rsid w:val="00E96067"/>
    <w:rsid w:val="00E96069"/>
    <w:rsid w:val="00E978A9"/>
    <w:rsid w:val="00E97BA6"/>
    <w:rsid w:val="00EA269F"/>
    <w:rsid w:val="00EA3AB3"/>
    <w:rsid w:val="00EA4497"/>
    <w:rsid w:val="00EA50DF"/>
    <w:rsid w:val="00EA58E3"/>
    <w:rsid w:val="00EA79FF"/>
    <w:rsid w:val="00EB0297"/>
    <w:rsid w:val="00EB10E0"/>
    <w:rsid w:val="00EB1B32"/>
    <w:rsid w:val="00EB1F58"/>
    <w:rsid w:val="00EB247F"/>
    <w:rsid w:val="00EB2953"/>
    <w:rsid w:val="00EB3311"/>
    <w:rsid w:val="00EB3A54"/>
    <w:rsid w:val="00EB3FC0"/>
    <w:rsid w:val="00EB4E3A"/>
    <w:rsid w:val="00EB74AD"/>
    <w:rsid w:val="00EB79A8"/>
    <w:rsid w:val="00EC0185"/>
    <w:rsid w:val="00EC05D7"/>
    <w:rsid w:val="00EC0BBB"/>
    <w:rsid w:val="00EC0FBD"/>
    <w:rsid w:val="00EC154C"/>
    <w:rsid w:val="00EC2638"/>
    <w:rsid w:val="00EC3A79"/>
    <w:rsid w:val="00EC5329"/>
    <w:rsid w:val="00EC54A4"/>
    <w:rsid w:val="00EC5BC0"/>
    <w:rsid w:val="00EC7DCC"/>
    <w:rsid w:val="00ED02EE"/>
    <w:rsid w:val="00ED057E"/>
    <w:rsid w:val="00ED0E0B"/>
    <w:rsid w:val="00ED1068"/>
    <w:rsid w:val="00ED156D"/>
    <w:rsid w:val="00ED1756"/>
    <w:rsid w:val="00ED1C81"/>
    <w:rsid w:val="00ED2BBC"/>
    <w:rsid w:val="00ED2C70"/>
    <w:rsid w:val="00ED33F9"/>
    <w:rsid w:val="00ED398A"/>
    <w:rsid w:val="00ED3C78"/>
    <w:rsid w:val="00ED4010"/>
    <w:rsid w:val="00ED43DB"/>
    <w:rsid w:val="00ED54F6"/>
    <w:rsid w:val="00ED556D"/>
    <w:rsid w:val="00ED65E7"/>
    <w:rsid w:val="00ED7936"/>
    <w:rsid w:val="00EE0787"/>
    <w:rsid w:val="00EE12CC"/>
    <w:rsid w:val="00EE23AE"/>
    <w:rsid w:val="00EE2B67"/>
    <w:rsid w:val="00EE2C9E"/>
    <w:rsid w:val="00EE308E"/>
    <w:rsid w:val="00EE3DD2"/>
    <w:rsid w:val="00EE43E3"/>
    <w:rsid w:val="00EE4FD6"/>
    <w:rsid w:val="00EE582E"/>
    <w:rsid w:val="00EE5C5C"/>
    <w:rsid w:val="00EE6F5F"/>
    <w:rsid w:val="00EE6F7A"/>
    <w:rsid w:val="00EE705D"/>
    <w:rsid w:val="00EE76F7"/>
    <w:rsid w:val="00EF20B7"/>
    <w:rsid w:val="00EF30D9"/>
    <w:rsid w:val="00EF33A4"/>
    <w:rsid w:val="00EF3752"/>
    <w:rsid w:val="00EF4015"/>
    <w:rsid w:val="00EF58F3"/>
    <w:rsid w:val="00EF7324"/>
    <w:rsid w:val="00F0056A"/>
    <w:rsid w:val="00F00E09"/>
    <w:rsid w:val="00F012F0"/>
    <w:rsid w:val="00F014CD"/>
    <w:rsid w:val="00F01A4D"/>
    <w:rsid w:val="00F01D30"/>
    <w:rsid w:val="00F01EBB"/>
    <w:rsid w:val="00F02AC0"/>
    <w:rsid w:val="00F02D21"/>
    <w:rsid w:val="00F0334D"/>
    <w:rsid w:val="00F038CA"/>
    <w:rsid w:val="00F03992"/>
    <w:rsid w:val="00F04B33"/>
    <w:rsid w:val="00F04FEB"/>
    <w:rsid w:val="00F050BD"/>
    <w:rsid w:val="00F057A2"/>
    <w:rsid w:val="00F06785"/>
    <w:rsid w:val="00F06894"/>
    <w:rsid w:val="00F06C66"/>
    <w:rsid w:val="00F07140"/>
    <w:rsid w:val="00F072BD"/>
    <w:rsid w:val="00F10609"/>
    <w:rsid w:val="00F10E1E"/>
    <w:rsid w:val="00F119FE"/>
    <w:rsid w:val="00F1215A"/>
    <w:rsid w:val="00F127BA"/>
    <w:rsid w:val="00F14CA7"/>
    <w:rsid w:val="00F167E6"/>
    <w:rsid w:val="00F170CB"/>
    <w:rsid w:val="00F17386"/>
    <w:rsid w:val="00F17915"/>
    <w:rsid w:val="00F1791E"/>
    <w:rsid w:val="00F17BA4"/>
    <w:rsid w:val="00F17C4C"/>
    <w:rsid w:val="00F20B6D"/>
    <w:rsid w:val="00F215DF"/>
    <w:rsid w:val="00F21D7D"/>
    <w:rsid w:val="00F223F5"/>
    <w:rsid w:val="00F228CE"/>
    <w:rsid w:val="00F22D85"/>
    <w:rsid w:val="00F23A7C"/>
    <w:rsid w:val="00F249B9"/>
    <w:rsid w:val="00F24A20"/>
    <w:rsid w:val="00F2508D"/>
    <w:rsid w:val="00F2703C"/>
    <w:rsid w:val="00F27D6C"/>
    <w:rsid w:val="00F30933"/>
    <w:rsid w:val="00F30FEA"/>
    <w:rsid w:val="00F31912"/>
    <w:rsid w:val="00F31ADC"/>
    <w:rsid w:val="00F322B2"/>
    <w:rsid w:val="00F32FCA"/>
    <w:rsid w:val="00F33A18"/>
    <w:rsid w:val="00F33F32"/>
    <w:rsid w:val="00F34028"/>
    <w:rsid w:val="00F34DDB"/>
    <w:rsid w:val="00F34ED0"/>
    <w:rsid w:val="00F35709"/>
    <w:rsid w:val="00F35F7C"/>
    <w:rsid w:val="00F36AB8"/>
    <w:rsid w:val="00F36D36"/>
    <w:rsid w:val="00F3781B"/>
    <w:rsid w:val="00F37885"/>
    <w:rsid w:val="00F408CE"/>
    <w:rsid w:val="00F40A6F"/>
    <w:rsid w:val="00F4159B"/>
    <w:rsid w:val="00F45455"/>
    <w:rsid w:val="00F45AF0"/>
    <w:rsid w:val="00F46B55"/>
    <w:rsid w:val="00F46F5A"/>
    <w:rsid w:val="00F47769"/>
    <w:rsid w:val="00F47B23"/>
    <w:rsid w:val="00F50FFB"/>
    <w:rsid w:val="00F538F1"/>
    <w:rsid w:val="00F5396D"/>
    <w:rsid w:val="00F54405"/>
    <w:rsid w:val="00F54EAB"/>
    <w:rsid w:val="00F54F91"/>
    <w:rsid w:val="00F558D0"/>
    <w:rsid w:val="00F56DA7"/>
    <w:rsid w:val="00F60FAA"/>
    <w:rsid w:val="00F61F1D"/>
    <w:rsid w:val="00F623FC"/>
    <w:rsid w:val="00F628D3"/>
    <w:rsid w:val="00F62FC0"/>
    <w:rsid w:val="00F63A95"/>
    <w:rsid w:val="00F640F1"/>
    <w:rsid w:val="00F64A91"/>
    <w:rsid w:val="00F658B9"/>
    <w:rsid w:val="00F66641"/>
    <w:rsid w:val="00F66A30"/>
    <w:rsid w:val="00F672E7"/>
    <w:rsid w:val="00F67E5C"/>
    <w:rsid w:val="00F708EB"/>
    <w:rsid w:val="00F719EE"/>
    <w:rsid w:val="00F71A7D"/>
    <w:rsid w:val="00F7233F"/>
    <w:rsid w:val="00F7246E"/>
    <w:rsid w:val="00F72615"/>
    <w:rsid w:val="00F72AB1"/>
    <w:rsid w:val="00F737BC"/>
    <w:rsid w:val="00F74893"/>
    <w:rsid w:val="00F74946"/>
    <w:rsid w:val="00F74D05"/>
    <w:rsid w:val="00F74D1F"/>
    <w:rsid w:val="00F75CA4"/>
    <w:rsid w:val="00F761D3"/>
    <w:rsid w:val="00F76E7D"/>
    <w:rsid w:val="00F771AD"/>
    <w:rsid w:val="00F77A78"/>
    <w:rsid w:val="00F8090D"/>
    <w:rsid w:val="00F81620"/>
    <w:rsid w:val="00F81D83"/>
    <w:rsid w:val="00F83008"/>
    <w:rsid w:val="00F835EF"/>
    <w:rsid w:val="00F83735"/>
    <w:rsid w:val="00F83832"/>
    <w:rsid w:val="00F8413E"/>
    <w:rsid w:val="00F84B0D"/>
    <w:rsid w:val="00F84C79"/>
    <w:rsid w:val="00F8546F"/>
    <w:rsid w:val="00F85A93"/>
    <w:rsid w:val="00F866E3"/>
    <w:rsid w:val="00F86DB2"/>
    <w:rsid w:val="00F90668"/>
    <w:rsid w:val="00F90711"/>
    <w:rsid w:val="00F90C16"/>
    <w:rsid w:val="00F92657"/>
    <w:rsid w:val="00F9329D"/>
    <w:rsid w:val="00F93371"/>
    <w:rsid w:val="00F938B8"/>
    <w:rsid w:val="00F946CF"/>
    <w:rsid w:val="00F948AC"/>
    <w:rsid w:val="00F95C49"/>
    <w:rsid w:val="00F96DDF"/>
    <w:rsid w:val="00F9769F"/>
    <w:rsid w:val="00FA0145"/>
    <w:rsid w:val="00FA087A"/>
    <w:rsid w:val="00FA1039"/>
    <w:rsid w:val="00FA114A"/>
    <w:rsid w:val="00FA1677"/>
    <w:rsid w:val="00FA1E0C"/>
    <w:rsid w:val="00FA2AEF"/>
    <w:rsid w:val="00FA41F2"/>
    <w:rsid w:val="00FA4616"/>
    <w:rsid w:val="00FA47A4"/>
    <w:rsid w:val="00FA488E"/>
    <w:rsid w:val="00FA48D1"/>
    <w:rsid w:val="00FA5333"/>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6D2"/>
    <w:rsid w:val="00FD0A74"/>
    <w:rsid w:val="00FD0FF2"/>
    <w:rsid w:val="00FD1163"/>
    <w:rsid w:val="00FD2F31"/>
    <w:rsid w:val="00FD30B6"/>
    <w:rsid w:val="00FD3332"/>
    <w:rsid w:val="00FD396C"/>
    <w:rsid w:val="00FD3A8B"/>
    <w:rsid w:val="00FD3C08"/>
    <w:rsid w:val="00FD4393"/>
    <w:rsid w:val="00FD467B"/>
    <w:rsid w:val="00FD49B2"/>
    <w:rsid w:val="00FD539E"/>
    <w:rsid w:val="00FD59FF"/>
    <w:rsid w:val="00FD7E0F"/>
    <w:rsid w:val="00FE0BEA"/>
    <w:rsid w:val="00FE0C54"/>
    <w:rsid w:val="00FE1140"/>
    <w:rsid w:val="00FE1555"/>
    <w:rsid w:val="00FE155A"/>
    <w:rsid w:val="00FE18DD"/>
    <w:rsid w:val="00FE1A49"/>
    <w:rsid w:val="00FE20B9"/>
    <w:rsid w:val="00FE2EB5"/>
    <w:rsid w:val="00FE2FF5"/>
    <w:rsid w:val="00FE3363"/>
    <w:rsid w:val="00FE391B"/>
    <w:rsid w:val="00FE4E95"/>
    <w:rsid w:val="00FE55F3"/>
    <w:rsid w:val="00FE5721"/>
    <w:rsid w:val="00FE578B"/>
    <w:rsid w:val="00FE624F"/>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4FEEB"/>
  <w15:docId w15:val="{F37E2CEB-AF9C-4CD2-BE4C-77823CF2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1"/>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Default">
    <w:name w:val="Default"/>
    <w:rsid w:val="00A3293C"/>
    <w:pPr>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rsid w:val="00736C74"/>
    <w:rPr>
      <w:color w:val="auto"/>
    </w:rPr>
  </w:style>
  <w:style w:type="character" w:styleId="NichtaufgelsteErwhnung">
    <w:name w:val="Unresolved Mention"/>
    <w:basedOn w:val="Absatz-Standardschriftart"/>
    <w:uiPriority w:val="99"/>
    <w:semiHidden/>
    <w:unhideWhenUsed/>
    <w:rsid w:val="00B5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328442498">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29179931">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559632156">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 w:id="20353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5A77-78E1-43EF-B5CD-48F4544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11975</Words>
  <Characters>75446</Characters>
  <Application>Microsoft Office Word</Application>
  <DocSecurity>0</DocSecurity>
  <Lines>628</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Teich, Dominik</cp:lastModifiedBy>
  <cp:revision>2</cp:revision>
  <dcterms:created xsi:type="dcterms:W3CDTF">2022-08-10T09:40:00Z</dcterms:created>
  <dcterms:modified xsi:type="dcterms:W3CDTF">2022-08-10T09:40:00Z</dcterms:modified>
</cp:coreProperties>
</file>